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F83C66" w14:textId="28621B6F" w:rsidR="00410DEF" w:rsidRPr="009236E8" w:rsidRDefault="00F563EA" w:rsidP="009236E8">
      <w:pPr>
        <w:keepNext/>
        <w:keepLines/>
        <w:spacing w:before="600" w:line="240" w:lineRule="auto"/>
        <w:jc w:val="center"/>
        <w:outlineLvl w:val="0"/>
        <w:rPr>
          <w:rFonts w:ascii="Arial" w:eastAsia="Times New Roman" w:hAnsi="Arial" w:cs="Times New Roman"/>
          <w:b/>
          <w:bCs/>
          <w:sz w:val="28"/>
          <w:szCs w:val="28"/>
          <w:lang w:val="en-GB"/>
        </w:rPr>
      </w:pPr>
      <w:bookmarkStart w:id="0" w:name="Consent"/>
      <w:bookmarkEnd w:id="0"/>
      <w:r>
        <w:rPr>
          <w:rFonts w:ascii="Arial" w:eastAsia="Times New Roman" w:hAnsi="Arial" w:cs="Times New Roman"/>
          <w:b/>
          <w:bCs/>
          <w:sz w:val="28"/>
          <w:szCs w:val="28"/>
          <w:lang w:val="en-GB"/>
        </w:rPr>
        <w:t>C</w:t>
      </w:r>
      <w:r w:rsidR="00190F90">
        <w:rPr>
          <w:rFonts w:ascii="Arial" w:eastAsia="Times New Roman" w:hAnsi="Arial" w:cs="Times New Roman"/>
          <w:b/>
          <w:bCs/>
          <w:sz w:val="28"/>
          <w:szCs w:val="28"/>
          <w:lang w:val="en-GB"/>
        </w:rPr>
        <w:t>O</w:t>
      </w:r>
      <w:r w:rsidR="00790995">
        <w:rPr>
          <w:rFonts w:ascii="Arial" w:eastAsia="Times New Roman" w:hAnsi="Arial" w:cs="Times New Roman"/>
          <w:b/>
          <w:bCs/>
          <w:sz w:val="28"/>
          <w:szCs w:val="28"/>
          <w:lang w:val="en-GB"/>
        </w:rPr>
        <w:t>N</w:t>
      </w:r>
      <w:r w:rsidR="00953B22">
        <w:rPr>
          <w:rFonts w:ascii="Arial" w:eastAsia="Times New Roman" w:hAnsi="Arial" w:cs="Times New Roman"/>
          <w:b/>
          <w:bCs/>
          <w:sz w:val="28"/>
          <w:szCs w:val="28"/>
          <w:lang w:val="en-GB"/>
        </w:rPr>
        <w:t>SENT</w:t>
      </w:r>
    </w:p>
    <w:p w14:paraId="1331DE43" w14:textId="77777777" w:rsidR="00410DEF" w:rsidRPr="00B14A79" w:rsidRDefault="00410DEF" w:rsidP="00410DEF">
      <w:pPr>
        <w:keepNext/>
        <w:keepLines/>
        <w:widowControl w:val="0"/>
        <w:suppressAutoHyphens/>
        <w:autoSpaceDN w:val="0"/>
        <w:jc w:val="center"/>
        <w:textAlignment w:val="baseline"/>
        <w:outlineLvl w:val="0"/>
        <w:rPr>
          <w:rFonts w:ascii="Arial" w:eastAsia="Arial" w:hAnsi="Arial" w:cs="Arial"/>
          <w:b/>
          <w:bCs/>
          <w:kern w:val="3"/>
          <w:sz w:val="24"/>
          <w:szCs w:val="24"/>
          <w:lang w:bidi="en-US"/>
        </w:rPr>
      </w:pPr>
    </w:p>
    <w:p w14:paraId="7C4BEDC7" w14:textId="4B7C58F0" w:rsidR="00E63881" w:rsidRDefault="00246D7B" w:rsidP="00962E1E">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r>
        <w:rPr>
          <w:rFonts w:ascii="Arial" w:eastAsia="Arial" w:hAnsi="Arial" w:cs="Arial"/>
          <w:b/>
          <w:bCs/>
          <w:kern w:val="3"/>
          <w:sz w:val="28"/>
          <w:szCs w:val="28"/>
          <w:lang w:bidi="en-US"/>
        </w:rPr>
        <w:t>Caretakers Southwest Ltd</w:t>
      </w:r>
    </w:p>
    <w:p w14:paraId="0A1475B8" w14:textId="77777777" w:rsidR="00526938" w:rsidRDefault="00526938" w:rsidP="00962E1E">
      <w:pPr>
        <w:keepNext/>
        <w:keepLines/>
        <w:widowControl w:val="0"/>
        <w:suppressAutoHyphens/>
        <w:autoSpaceDN w:val="0"/>
        <w:jc w:val="center"/>
        <w:textAlignment w:val="baseline"/>
        <w:outlineLvl w:val="0"/>
        <w:rPr>
          <w:rFonts w:ascii="Arial" w:eastAsia="Arial" w:hAnsi="Arial" w:cs="Arial"/>
          <w:b/>
          <w:bCs/>
          <w:kern w:val="3"/>
          <w:sz w:val="28"/>
          <w:szCs w:val="28"/>
          <w:lang w:bidi="en-US"/>
        </w:rPr>
      </w:pPr>
    </w:p>
    <w:p w14:paraId="42C6E9DA" w14:textId="16C93454" w:rsidR="00A61A71" w:rsidRDefault="00B14A79" w:rsidP="00B7150E">
      <w:pPr>
        <w:keepNext/>
        <w:keepLines/>
        <w:widowControl w:val="0"/>
        <w:suppressAutoHyphens/>
        <w:autoSpaceDN w:val="0"/>
        <w:textAlignment w:val="baseline"/>
        <w:outlineLvl w:val="0"/>
        <w:rPr>
          <w:rFonts w:ascii="Arial" w:eastAsia="HGGothicM" w:hAnsi="Arial" w:cs="Arial"/>
          <w:b/>
          <w:bCs/>
          <w:color w:val="6076B4"/>
          <w:sz w:val="24"/>
          <w:szCs w:val="24"/>
          <w:lang w:bidi="en-US"/>
        </w:rPr>
      </w:pPr>
      <w:r w:rsidRPr="00B14A79">
        <w:rPr>
          <w:rFonts w:ascii="Arial" w:eastAsia="HGGothicM" w:hAnsi="Arial" w:cs="Arial"/>
          <w:b/>
          <w:bCs/>
          <w:color w:val="6076B4"/>
          <w:sz w:val="24"/>
          <w:szCs w:val="24"/>
          <w:lang w:bidi="en-US"/>
        </w:rPr>
        <w:t>Scope</w:t>
      </w:r>
    </w:p>
    <w:p w14:paraId="3FE92DFE" w14:textId="1866CFCE" w:rsidR="00B7150E" w:rsidRPr="00246D7B"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246D7B">
        <w:rPr>
          <w:rFonts w:ascii="Arial" w:eastAsia="HGGothicM" w:hAnsi="Arial" w:cs="Arial"/>
          <w:bCs/>
          <w:sz w:val="24"/>
          <w:szCs w:val="24"/>
          <w:lang w:bidi="en-US"/>
        </w:rPr>
        <w:t>Policy Statement</w:t>
      </w:r>
    </w:p>
    <w:p w14:paraId="21E3EA7C" w14:textId="3C47460A" w:rsidR="00B7150E" w:rsidRPr="00246D7B"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246D7B">
        <w:rPr>
          <w:rFonts w:ascii="Arial" w:eastAsia="HGGothicM" w:hAnsi="Arial" w:cs="Arial"/>
          <w:bCs/>
          <w:sz w:val="24"/>
          <w:szCs w:val="24"/>
          <w:lang w:bidi="en-US"/>
        </w:rPr>
        <w:t>The Policy</w:t>
      </w:r>
    </w:p>
    <w:p w14:paraId="1556B5F1" w14:textId="7889EE89" w:rsidR="00865E53" w:rsidRPr="00246D7B" w:rsidRDefault="00865E53"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246D7B">
        <w:rPr>
          <w:rFonts w:ascii="Arial" w:eastAsia="HGGothicM" w:hAnsi="Arial" w:cs="Arial"/>
          <w:bCs/>
          <w:sz w:val="24"/>
          <w:szCs w:val="24"/>
          <w:lang w:bidi="en-US"/>
        </w:rPr>
        <w:t>What is Informed Consent?</w:t>
      </w:r>
    </w:p>
    <w:p w14:paraId="5E90F1AF" w14:textId="72827618" w:rsidR="00865E53" w:rsidRPr="00246D7B" w:rsidRDefault="00865E53"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246D7B">
        <w:rPr>
          <w:rFonts w:ascii="Arial" w:eastAsia="HGGothicM" w:hAnsi="Arial" w:cs="Arial"/>
          <w:bCs/>
          <w:sz w:val="24"/>
          <w:szCs w:val="24"/>
          <w:lang w:bidi="en-US"/>
        </w:rPr>
        <w:t>Ongoing Consent as a Process</w:t>
      </w:r>
    </w:p>
    <w:p w14:paraId="11F95FD9" w14:textId="0D03EEB6" w:rsidR="00865E53" w:rsidRPr="00246D7B" w:rsidRDefault="00865E53"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246D7B">
        <w:rPr>
          <w:rFonts w:ascii="Arial" w:eastAsia="HGGothicM" w:hAnsi="Arial" w:cs="Arial"/>
          <w:bCs/>
          <w:sz w:val="24"/>
          <w:szCs w:val="24"/>
          <w:lang w:bidi="en-US"/>
        </w:rPr>
        <w:t>Reviewing Informed Consent</w:t>
      </w:r>
    </w:p>
    <w:p w14:paraId="6AE97D3A" w14:textId="13EC7890" w:rsidR="00865E53" w:rsidRPr="00246D7B" w:rsidRDefault="00865E53"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246D7B">
        <w:rPr>
          <w:rFonts w:ascii="Arial" w:eastAsia="HGGothicM" w:hAnsi="Arial" w:cs="Arial"/>
          <w:bCs/>
          <w:sz w:val="24"/>
          <w:szCs w:val="24"/>
          <w:lang w:bidi="en-US"/>
        </w:rPr>
        <w:t>The Legal and Ethical Framework</w:t>
      </w:r>
    </w:p>
    <w:p w14:paraId="71D9E568" w14:textId="5F0DE4AC" w:rsidR="00865E53" w:rsidRPr="00246D7B" w:rsidRDefault="00865E53"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246D7B">
        <w:rPr>
          <w:rFonts w:ascii="Arial" w:eastAsia="HGGothicM" w:hAnsi="Arial" w:cs="Arial"/>
          <w:bCs/>
          <w:sz w:val="24"/>
          <w:szCs w:val="24"/>
          <w:lang w:bidi="en-US"/>
        </w:rPr>
        <w:t>Informed Consent in Special Circumstances</w:t>
      </w:r>
    </w:p>
    <w:p w14:paraId="63507326" w14:textId="4F728069" w:rsidR="00865E53" w:rsidRPr="00246D7B" w:rsidRDefault="00865E53"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246D7B">
        <w:rPr>
          <w:rFonts w:ascii="Arial" w:eastAsia="HGGothicM" w:hAnsi="Arial" w:cs="Arial"/>
          <w:bCs/>
          <w:sz w:val="24"/>
          <w:szCs w:val="24"/>
          <w:lang w:bidi="en-US"/>
        </w:rPr>
        <w:t>Delayed Consent</w:t>
      </w:r>
    </w:p>
    <w:p w14:paraId="76B51395" w14:textId="04A38D3A" w:rsidR="00865E53" w:rsidRPr="00246D7B" w:rsidRDefault="00865E53"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246D7B">
        <w:rPr>
          <w:rFonts w:ascii="Arial" w:eastAsia="HGGothicM" w:hAnsi="Arial" w:cs="Arial"/>
          <w:bCs/>
          <w:sz w:val="24"/>
          <w:szCs w:val="24"/>
          <w:lang w:bidi="en-US"/>
        </w:rPr>
        <w:t>Implied</w:t>
      </w:r>
      <w:r w:rsidR="00F60FD7" w:rsidRPr="00246D7B">
        <w:rPr>
          <w:rFonts w:ascii="Arial" w:eastAsia="HGGothicM" w:hAnsi="Arial" w:cs="Arial"/>
          <w:bCs/>
          <w:sz w:val="24"/>
          <w:szCs w:val="24"/>
          <w:lang w:bidi="en-US"/>
        </w:rPr>
        <w:t xml:space="preserve"> Informal Consent</w:t>
      </w:r>
    </w:p>
    <w:p w14:paraId="116D90BD" w14:textId="64CED8DA" w:rsidR="00F60FD7" w:rsidRPr="00246D7B" w:rsidRDefault="00F60FD7"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246D7B">
        <w:rPr>
          <w:rFonts w:ascii="Arial" w:eastAsia="HGGothicM" w:hAnsi="Arial" w:cs="Arial"/>
          <w:bCs/>
          <w:sz w:val="24"/>
          <w:szCs w:val="24"/>
          <w:lang w:bidi="en-US"/>
        </w:rPr>
        <w:t>The Process of Gaining Informed Consent</w:t>
      </w:r>
    </w:p>
    <w:p w14:paraId="6E6214A2" w14:textId="251F35C1" w:rsidR="00F60FD7" w:rsidRPr="00246D7B" w:rsidRDefault="00F60FD7" w:rsidP="00BB4E84">
      <w:pPr>
        <w:pStyle w:val="ListParagraph"/>
        <w:keepNext/>
        <w:keepLines/>
        <w:widowControl w:val="0"/>
        <w:numPr>
          <w:ilvl w:val="1"/>
          <w:numId w:val="70"/>
        </w:numPr>
        <w:suppressAutoHyphens/>
        <w:autoSpaceDN w:val="0"/>
        <w:textAlignment w:val="baseline"/>
        <w:outlineLvl w:val="0"/>
        <w:rPr>
          <w:rFonts w:ascii="Arial" w:eastAsia="HGGothicM" w:hAnsi="Arial" w:cs="Arial"/>
          <w:bCs/>
          <w:sz w:val="24"/>
          <w:szCs w:val="24"/>
          <w:lang w:bidi="en-US"/>
        </w:rPr>
      </w:pPr>
      <w:r w:rsidRPr="00246D7B">
        <w:rPr>
          <w:rFonts w:ascii="Arial" w:eastAsia="HGGothicM" w:hAnsi="Arial" w:cs="Arial"/>
          <w:bCs/>
          <w:sz w:val="24"/>
          <w:szCs w:val="24"/>
          <w:lang w:bidi="en-US"/>
        </w:rPr>
        <w:t>The Discussion</w:t>
      </w:r>
    </w:p>
    <w:p w14:paraId="395DFFD6" w14:textId="3B0F3A48" w:rsidR="00F60FD7" w:rsidRPr="00246D7B" w:rsidRDefault="00F60FD7" w:rsidP="00BB4E84">
      <w:pPr>
        <w:pStyle w:val="ListParagraph"/>
        <w:keepNext/>
        <w:keepLines/>
        <w:widowControl w:val="0"/>
        <w:numPr>
          <w:ilvl w:val="1"/>
          <w:numId w:val="70"/>
        </w:numPr>
        <w:suppressAutoHyphens/>
        <w:autoSpaceDN w:val="0"/>
        <w:textAlignment w:val="baseline"/>
        <w:outlineLvl w:val="0"/>
        <w:rPr>
          <w:rFonts w:ascii="Arial" w:eastAsia="HGGothicM" w:hAnsi="Arial" w:cs="Arial"/>
          <w:bCs/>
          <w:sz w:val="24"/>
          <w:szCs w:val="24"/>
          <w:lang w:bidi="en-US"/>
        </w:rPr>
      </w:pPr>
      <w:r w:rsidRPr="00246D7B">
        <w:rPr>
          <w:rFonts w:ascii="Arial" w:eastAsia="HGGothicM" w:hAnsi="Arial" w:cs="Arial"/>
          <w:bCs/>
          <w:sz w:val="24"/>
          <w:szCs w:val="24"/>
          <w:lang w:bidi="en-US"/>
        </w:rPr>
        <w:t>Acknowledging Diversity</w:t>
      </w:r>
    </w:p>
    <w:p w14:paraId="523BC222" w14:textId="2FF2E562" w:rsidR="00F60FD7" w:rsidRPr="00246D7B" w:rsidRDefault="00F60FD7" w:rsidP="00BB4E84">
      <w:pPr>
        <w:pStyle w:val="ListParagraph"/>
        <w:keepNext/>
        <w:keepLines/>
        <w:widowControl w:val="0"/>
        <w:numPr>
          <w:ilvl w:val="1"/>
          <w:numId w:val="70"/>
        </w:numPr>
        <w:suppressAutoHyphens/>
        <w:autoSpaceDN w:val="0"/>
        <w:textAlignment w:val="baseline"/>
        <w:outlineLvl w:val="0"/>
        <w:rPr>
          <w:rFonts w:ascii="Arial" w:eastAsia="HGGothicM" w:hAnsi="Arial" w:cs="Arial"/>
          <w:bCs/>
          <w:sz w:val="24"/>
          <w:szCs w:val="24"/>
          <w:lang w:bidi="en-US"/>
        </w:rPr>
      </w:pPr>
      <w:r w:rsidRPr="00246D7B">
        <w:rPr>
          <w:rFonts w:ascii="Arial" w:eastAsia="HGGothicM" w:hAnsi="Arial" w:cs="Arial"/>
          <w:bCs/>
          <w:sz w:val="24"/>
          <w:szCs w:val="24"/>
          <w:lang w:bidi="en-US"/>
        </w:rPr>
        <w:t>Re-enforcing the Discussion</w:t>
      </w:r>
    </w:p>
    <w:p w14:paraId="14569CB2" w14:textId="26DA62D2" w:rsidR="00F60FD7" w:rsidRPr="00246D7B" w:rsidRDefault="00F60FD7" w:rsidP="00BB4E84">
      <w:pPr>
        <w:pStyle w:val="ListParagraph"/>
        <w:keepNext/>
        <w:keepLines/>
        <w:widowControl w:val="0"/>
        <w:numPr>
          <w:ilvl w:val="1"/>
          <w:numId w:val="70"/>
        </w:numPr>
        <w:suppressAutoHyphens/>
        <w:autoSpaceDN w:val="0"/>
        <w:textAlignment w:val="baseline"/>
        <w:outlineLvl w:val="0"/>
        <w:rPr>
          <w:rFonts w:ascii="Arial" w:eastAsia="HGGothicM" w:hAnsi="Arial" w:cs="Arial"/>
          <w:bCs/>
          <w:sz w:val="24"/>
          <w:szCs w:val="24"/>
          <w:lang w:bidi="en-US"/>
        </w:rPr>
      </w:pPr>
      <w:r w:rsidRPr="00246D7B">
        <w:rPr>
          <w:rFonts w:ascii="Arial" w:eastAsia="HGGothicM" w:hAnsi="Arial" w:cs="Arial"/>
          <w:bCs/>
          <w:sz w:val="24"/>
          <w:szCs w:val="24"/>
          <w:lang w:bidi="en-US"/>
        </w:rPr>
        <w:t>Consent Form</w:t>
      </w:r>
    </w:p>
    <w:p w14:paraId="230DE5E9" w14:textId="06B16C50" w:rsidR="00F60FD7" w:rsidRPr="00246D7B" w:rsidRDefault="00CE53AF" w:rsidP="00BB4E84">
      <w:pPr>
        <w:pStyle w:val="ListParagraph"/>
        <w:keepNext/>
        <w:keepLines/>
        <w:widowControl w:val="0"/>
        <w:numPr>
          <w:ilvl w:val="1"/>
          <w:numId w:val="70"/>
        </w:numPr>
        <w:suppressAutoHyphens/>
        <w:autoSpaceDN w:val="0"/>
        <w:textAlignment w:val="baseline"/>
        <w:outlineLvl w:val="0"/>
        <w:rPr>
          <w:rFonts w:ascii="Arial" w:eastAsia="HGGothicM" w:hAnsi="Arial" w:cs="Arial"/>
          <w:bCs/>
          <w:sz w:val="24"/>
          <w:szCs w:val="24"/>
          <w:lang w:bidi="en-US"/>
        </w:rPr>
      </w:pPr>
      <w:r w:rsidRPr="00246D7B">
        <w:rPr>
          <w:rFonts w:ascii="Arial" w:eastAsia="HGGothicM" w:hAnsi="Arial" w:cs="Arial"/>
          <w:bCs/>
          <w:sz w:val="24"/>
          <w:szCs w:val="24"/>
          <w:lang w:bidi="en-US"/>
        </w:rPr>
        <w:t>Service Users</w:t>
      </w:r>
    </w:p>
    <w:p w14:paraId="03EC38BB" w14:textId="3AC68F09" w:rsidR="00F60FD7" w:rsidRPr="00246D7B" w:rsidRDefault="00F60FD7" w:rsidP="00BB4E84">
      <w:pPr>
        <w:pStyle w:val="ListParagraph"/>
        <w:keepNext/>
        <w:keepLines/>
        <w:widowControl w:val="0"/>
        <w:numPr>
          <w:ilvl w:val="1"/>
          <w:numId w:val="70"/>
        </w:numPr>
        <w:suppressAutoHyphens/>
        <w:autoSpaceDN w:val="0"/>
        <w:textAlignment w:val="baseline"/>
        <w:outlineLvl w:val="0"/>
        <w:rPr>
          <w:rFonts w:ascii="Arial" w:eastAsia="HGGothicM" w:hAnsi="Arial" w:cs="Arial"/>
          <w:bCs/>
          <w:sz w:val="24"/>
          <w:szCs w:val="24"/>
          <w:lang w:bidi="en-US"/>
        </w:rPr>
      </w:pPr>
      <w:r w:rsidRPr="00246D7B">
        <w:rPr>
          <w:rFonts w:ascii="Arial" w:eastAsia="HGGothicM" w:hAnsi="Arial" w:cs="Arial"/>
          <w:bCs/>
          <w:sz w:val="24"/>
          <w:szCs w:val="24"/>
          <w:lang w:bidi="en-US"/>
        </w:rPr>
        <w:t>Recognising Special Needs</w:t>
      </w:r>
    </w:p>
    <w:p w14:paraId="6E6A25CE" w14:textId="79788B77" w:rsidR="00F60FD7" w:rsidRPr="00246D7B" w:rsidRDefault="00F60FD7" w:rsidP="00BB4E84">
      <w:pPr>
        <w:pStyle w:val="ListParagraph"/>
        <w:keepNext/>
        <w:keepLines/>
        <w:widowControl w:val="0"/>
        <w:numPr>
          <w:ilvl w:val="1"/>
          <w:numId w:val="70"/>
        </w:numPr>
        <w:suppressAutoHyphens/>
        <w:autoSpaceDN w:val="0"/>
        <w:textAlignment w:val="baseline"/>
        <w:outlineLvl w:val="0"/>
        <w:rPr>
          <w:rFonts w:ascii="Arial" w:eastAsia="HGGothicM" w:hAnsi="Arial" w:cs="Arial"/>
          <w:bCs/>
          <w:sz w:val="24"/>
          <w:szCs w:val="24"/>
          <w:lang w:bidi="en-US"/>
        </w:rPr>
      </w:pPr>
      <w:r w:rsidRPr="00246D7B">
        <w:rPr>
          <w:rFonts w:ascii="Arial" w:eastAsia="HGGothicM" w:hAnsi="Arial" w:cs="Arial"/>
          <w:bCs/>
          <w:sz w:val="24"/>
          <w:szCs w:val="24"/>
          <w:lang w:bidi="en-US"/>
        </w:rPr>
        <w:t>Capacity to Decide</w:t>
      </w:r>
    </w:p>
    <w:p w14:paraId="492D5AE4" w14:textId="4E962B10" w:rsidR="00F60FD7" w:rsidRPr="00246D7B" w:rsidRDefault="00CE53AF" w:rsidP="00BB4E84">
      <w:pPr>
        <w:pStyle w:val="ListParagraph"/>
        <w:keepNext/>
        <w:keepLines/>
        <w:widowControl w:val="0"/>
        <w:numPr>
          <w:ilvl w:val="1"/>
          <w:numId w:val="70"/>
        </w:numPr>
        <w:suppressAutoHyphens/>
        <w:autoSpaceDN w:val="0"/>
        <w:textAlignment w:val="baseline"/>
        <w:outlineLvl w:val="0"/>
        <w:rPr>
          <w:rFonts w:ascii="Arial" w:eastAsia="HGGothicM" w:hAnsi="Arial" w:cs="Arial"/>
          <w:bCs/>
          <w:sz w:val="24"/>
          <w:szCs w:val="24"/>
          <w:lang w:bidi="en-US"/>
        </w:rPr>
      </w:pPr>
      <w:r w:rsidRPr="00246D7B">
        <w:rPr>
          <w:rFonts w:ascii="Arial" w:eastAsia="HGGothicM" w:hAnsi="Arial" w:cs="Arial"/>
          <w:bCs/>
          <w:sz w:val="24"/>
          <w:szCs w:val="24"/>
          <w:lang w:bidi="en-US"/>
        </w:rPr>
        <w:t>Service User</w:t>
      </w:r>
      <w:r w:rsidR="00F60FD7" w:rsidRPr="00246D7B">
        <w:rPr>
          <w:rFonts w:ascii="Arial" w:eastAsia="HGGothicM" w:hAnsi="Arial" w:cs="Arial"/>
          <w:bCs/>
          <w:sz w:val="24"/>
          <w:szCs w:val="24"/>
          <w:lang w:bidi="en-US"/>
        </w:rPr>
        <w:t xml:space="preserve"> with Learning Disabilities</w:t>
      </w:r>
    </w:p>
    <w:p w14:paraId="2704D495" w14:textId="60A2A124" w:rsidR="00F60FD7" w:rsidRPr="00246D7B" w:rsidRDefault="00F60FD7" w:rsidP="00BB4E84">
      <w:pPr>
        <w:pStyle w:val="ListParagraph"/>
        <w:keepNext/>
        <w:keepLines/>
        <w:widowControl w:val="0"/>
        <w:numPr>
          <w:ilvl w:val="1"/>
          <w:numId w:val="71"/>
        </w:numPr>
        <w:suppressAutoHyphens/>
        <w:autoSpaceDN w:val="0"/>
        <w:textAlignment w:val="baseline"/>
        <w:outlineLvl w:val="0"/>
        <w:rPr>
          <w:rFonts w:ascii="Arial" w:eastAsia="HGGothicM" w:hAnsi="Arial" w:cs="Arial"/>
          <w:bCs/>
          <w:sz w:val="24"/>
          <w:szCs w:val="24"/>
          <w:lang w:bidi="en-US"/>
        </w:rPr>
      </w:pPr>
      <w:r w:rsidRPr="00246D7B">
        <w:rPr>
          <w:rFonts w:ascii="Arial" w:eastAsia="HGGothicM" w:hAnsi="Arial" w:cs="Arial"/>
          <w:bCs/>
          <w:sz w:val="24"/>
          <w:szCs w:val="24"/>
          <w:lang w:bidi="en-US"/>
        </w:rPr>
        <w:t>Conclusion</w:t>
      </w:r>
    </w:p>
    <w:p w14:paraId="6CE0DEDF" w14:textId="3815664E" w:rsidR="00B7150E" w:rsidRPr="00246D7B"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246D7B">
        <w:rPr>
          <w:rFonts w:ascii="Arial" w:eastAsia="HGGothicM" w:hAnsi="Arial" w:cs="Arial"/>
          <w:bCs/>
          <w:sz w:val="24"/>
          <w:szCs w:val="24"/>
          <w:lang w:bidi="en-US"/>
        </w:rPr>
        <w:t>Related Policies</w:t>
      </w:r>
    </w:p>
    <w:p w14:paraId="4144DE55" w14:textId="780BAA6A" w:rsidR="00B7150E" w:rsidRPr="00246D7B" w:rsidRDefault="00B7150E" w:rsidP="002D1A16">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246D7B">
        <w:rPr>
          <w:rFonts w:ascii="Arial" w:eastAsia="HGGothicM" w:hAnsi="Arial" w:cs="Arial"/>
          <w:bCs/>
          <w:sz w:val="24"/>
          <w:szCs w:val="24"/>
          <w:lang w:bidi="en-US"/>
        </w:rPr>
        <w:t>Related Guidance</w:t>
      </w:r>
    </w:p>
    <w:p w14:paraId="2D8DA629" w14:textId="030FC062" w:rsidR="00A61A71" w:rsidRPr="00246D7B" w:rsidRDefault="00B7150E" w:rsidP="002B3DB3">
      <w:pPr>
        <w:pStyle w:val="ListParagraph"/>
        <w:keepNext/>
        <w:keepLines/>
        <w:widowControl w:val="0"/>
        <w:numPr>
          <w:ilvl w:val="0"/>
          <w:numId w:val="1"/>
        </w:numPr>
        <w:suppressAutoHyphens/>
        <w:autoSpaceDN w:val="0"/>
        <w:textAlignment w:val="baseline"/>
        <w:outlineLvl w:val="0"/>
        <w:rPr>
          <w:rFonts w:ascii="Arial" w:eastAsia="HGGothicM" w:hAnsi="Arial" w:cs="Arial"/>
          <w:bCs/>
          <w:sz w:val="24"/>
          <w:szCs w:val="24"/>
          <w:lang w:bidi="en-US"/>
        </w:rPr>
      </w:pPr>
      <w:r w:rsidRPr="00246D7B">
        <w:rPr>
          <w:rFonts w:ascii="Arial" w:eastAsia="HGGothicM" w:hAnsi="Arial" w:cs="Arial"/>
          <w:bCs/>
          <w:sz w:val="24"/>
          <w:szCs w:val="24"/>
          <w:lang w:bidi="en-US"/>
        </w:rPr>
        <w:t>Training Statement</w:t>
      </w:r>
    </w:p>
    <w:p w14:paraId="0EA2DC9B" w14:textId="1CFDF98B" w:rsidR="002A5B90" w:rsidRDefault="00B7150E" w:rsidP="00B7150E">
      <w:pPr>
        <w:keepNext/>
        <w:keepLines/>
        <w:spacing w:before="360" w:after="0" w:line="240" w:lineRule="auto"/>
        <w:outlineLvl w:val="0"/>
        <w:rPr>
          <w:rFonts w:ascii="Arial" w:eastAsia="HGGothicM" w:hAnsi="Arial" w:cs="Arial"/>
          <w:b/>
          <w:bCs/>
          <w:color w:val="365F91" w:themeColor="accent1" w:themeShade="BF"/>
          <w:sz w:val="24"/>
          <w:szCs w:val="24"/>
          <w:lang w:eastAsia="en-GB"/>
        </w:rPr>
      </w:pPr>
      <w:r>
        <w:rPr>
          <w:rFonts w:ascii="Arial" w:eastAsia="HGGothicM" w:hAnsi="Arial" w:cs="Arial"/>
          <w:b/>
          <w:bCs/>
          <w:color w:val="365F91" w:themeColor="accent1" w:themeShade="BF"/>
          <w:sz w:val="24"/>
          <w:szCs w:val="24"/>
          <w:lang w:eastAsia="en-GB"/>
        </w:rPr>
        <w:t>Policy Statement</w:t>
      </w:r>
    </w:p>
    <w:p w14:paraId="565B19BE" w14:textId="77777777" w:rsidR="00B944C2" w:rsidRDefault="00B944C2" w:rsidP="00B7150E">
      <w:pPr>
        <w:keepNext/>
        <w:keepLines/>
        <w:spacing w:before="360" w:after="0" w:line="240" w:lineRule="auto"/>
        <w:outlineLvl w:val="0"/>
        <w:rPr>
          <w:rFonts w:ascii="Arial" w:eastAsia="HGGothicM" w:hAnsi="Arial" w:cs="Arial"/>
          <w:b/>
          <w:bCs/>
          <w:color w:val="365F91" w:themeColor="accent1" w:themeShade="BF"/>
          <w:sz w:val="24"/>
          <w:szCs w:val="24"/>
          <w:lang w:eastAsia="en-GB"/>
        </w:rPr>
      </w:pPr>
    </w:p>
    <w:p w14:paraId="6EE2F03F"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This organisation needs to ensure that suitable arrangements are in place for obtaining and acting in accordance with the consent of service users in relation to the care, treatment and support they receive.</w:t>
      </w:r>
    </w:p>
    <w:p w14:paraId="693628E3" w14:textId="101EC3BA" w:rsidR="002A5B90" w:rsidRDefault="00B14A79" w:rsidP="00B14A79">
      <w:pPr>
        <w:keepNext/>
        <w:keepLines/>
        <w:spacing w:before="360" w:after="0" w:line="240" w:lineRule="auto"/>
        <w:outlineLvl w:val="0"/>
        <w:rPr>
          <w:rFonts w:ascii="Arial" w:eastAsia="HGGothicM" w:hAnsi="Arial" w:cs="Arial"/>
          <w:b/>
          <w:bCs/>
          <w:color w:val="365F91" w:themeColor="accent1" w:themeShade="BF"/>
          <w:sz w:val="24"/>
          <w:szCs w:val="24"/>
          <w:lang w:eastAsia="en-GB"/>
        </w:rPr>
      </w:pPr>
      <w:r w:rsidRPr="002E7BED">
        <w:rPr>
          <w:rFonts w:ascii="Arial" w:eastAsia="HGGothicM" w:hAnsi="Arial" w:cs="Arial"/>
          <w:b/>
          <w:bCs/>
          <w:color w:val="365F91" w:themeColor="accent1" w:themeShade="BF"/>
          <w:sz w:val="24"/>
          <w:szCs w:val="24"/>
          <w:lang w:eastAsia="en-GB"/>
        </w:rPr>
        <w:lastRenderedPageBreak/>
        <w:t>The Policy</w:t>
      </w:r>
    </w:p>
    <w:p w14:paraId="074774EA" w14:textId="77777777" w:rsidR="00B944C2" w:rsidRDefault="00B944C2" w:rsidP="00B14A79">
      <w:pPr>
        <w:keepNext/>
        <w:keepLines/>
        <w:spacing w:before="360" w:after="0" w:line="240" w:lineRule="auto"/>
        <w:outlineLvl w:val="0"/>
        <w:rPr>
          <w:rFonts w:ascii="Arial" w:eastAsia="HGGothicM" w:hAnsi="Arial" w:cs="Arial"/>
          <w:b/>
          <w:bCs/>
          <w:color w:val="365F91" w:themeColor="accent1" w:themeShade="BF"/>
          <w:sz w:val="24"/>
          <w:szCs w:val="24"/>
          <w:lang w:eastAsia="en-GB"/>
        </w:rPr>
      </w:pPr>
    </w:p>
    <w:p w14:paraId="56B3D325"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 xml:space="preserve">The aim of this policy is to provide an overview and understanding of consent, the process of gaining consent and, in relation to the </w:t>
      </w:r>
      <w:r w:rsidRPr="00B944C2">
        <w:rPr>
          <w:rFonts w:ascii="Arial" w:eastAsia="Times New Roman" w:hAnsi="Arial" w:cs="Arial"/>
          <w:i/>
          <w:sz w:val="24"/>
          <w:szCs w:val="24"/>
          <w:lang w:val="en-GB" w:eastAsia="sk-SK"/>
        </w:rPr>
        <w:t>Mental Capacity Act 2005,</w:t>
      </w:r>
      <w:r w:rsidRPr="00B944C2">
        <w:rPr>
          <w:rFonts w:ascii="Arial" w:eastAsia="Times New Roman" w:hAnsi="Arial" w:cs="Arial"/>
          <w:sz w:val="24"/>
          <w:szCs w:val="24"/>
          <w:lang w:val="en-GB" w:eastAsia="sk-SK"/>
        </w:rPr>
        <w:t xml:space="preserve"> the importance of capacity in relation to agreed consent. All staff within this organisation will be kept updated of any changes via legislation or guidance.</w:t>
      </w:r>
    </w:p>
    <w:p w14:paraId="4BB80443" w14:textId="77777777" w:rsidR="00B944C2" w:rsidRPr="00B944C2" w:rsidRDefault="00B944C2" w:rsidP="00B944C2">
      <w:pPr>
        <w:pStyle w:val="Heading1"/>
        <w:rPr>
          <w:lang w:eastAsia="sk-SK"/>
        </w:rPr>
      </w:pPr>
      <w:bookmarkStart w:id="1" w:name="_Toc408410430"/>
      <w:bookmarkStart w:id="2" w:name="_Toc408495617"/>
      <w:bookmarkStart w:id="3" w:name="_Toc409431108"/>
      <w:r w:rsidRPr="00B944C2">
        <w:rPr>
          <w:lang w:eastAsia="sk-SK"/>
        </w:rPr>
        <w:t>What is Informed Consent?</w:t>
      </w:r>
      <w:bookmarkEnd w:id="1"/>
      <w:bookmarkEnd w:id="2"/>
      <w:bookmarkEnd w:id="3"/>
    </w:p>
    <w:p w14:paraId="6D8865AA"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“The process of agreeing to care, treatment or support based on access to all relevant and easily digestible information regarding their care, treatment or support needs”.</w:t>
      </w:r>
    </w:p>
    <w:p w14:paraId="24B1171B"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The above definition is straightforward and sets out the importance of the information which service users should receive before consent is agreed, in order to ensure that the consent is valid.</w:t>
      </w:r>
    </w:p>
    <w:p w14:paraId="38D03376"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For truly informed consent, the service user must understand the following;</w:t>
      </w:r>
    </w:p>
    <w:p w14:paraId="265308BD" w14:textId="77777777" w:rsidR="00B944C2" w:rsidRPr="00B944C2" w:rsidRDefault="00B944C2" w:rsidP="00B944C2">
      <w:pPr>
        <w:numPr>
          <w:ilvl w:val="0"/>
          <w:numId w:val="65"/>
        </w:numPr>
        <w:spacing w:after="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The purpose of the care, treatment or support</w:t>
      </w:r>
    </w:p>
    <w:p w14:paraId="5A831074" w14:textId="347A481C" w:rsidR="00B944C2" w:rsidRPr="00B944C2" w:rsidRDefault="00B944C2" w:rsidP="00B944C2">
      <w:pPr>
        <w:numPr>
          <w:ilvl w:val="0"/>
          <w:numId w:val="65"/>
        </w:numPr>
        <w:spacing w:after="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 xml:space="preserve">Who is involved in the delivery of the </w:t>
      </w:r>
      <w:r w:rsidR="001D6495" w:rsidRPr="00B944C2">
        <w:rPr>
          <w:rFonts w:ascii="Arial" w:eastAsia="Times New Roman" w:hAnsi="Arial" w:cs="Arial"/>
          <w:sz w:val="24"/>
          <w:szCs w:val="24"/>
          <w:lang w:val="en-GB" w:eastAsia="sk-SK"/>
        </w:rPr>
        <w:t>service?</w:t>
      </w:r>
    </w:p>
    <w:p w14:paraId="711B0B27" w14:textId="77777777" w:rsidR="00B944C2" w:rsidRPr="00B944C2" w:rsidRDefault="00B944C2" w:rsidP="00B944C2">
      <w:pPr>
        <w:numPr>
          <w:ilvl w:val="0"/>
          <w:numId w:val="65"/>
        </w:numPr>
        <w:spacing w:after="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The practicalities and processes involved</w:t>
      </w:r>
    </w:p>
    <w:p w14:paraId="3587CF47" w14:textId="77777777" w:rsidR="00B944C2" w:rsidRPr="00B944C2" w:rsidRDefault="00B944C2" w:rsidP="00B944C2">
      <w:pPr>
        <w:numPr>
          <w:ilvl w:val="0"/>
          <w:numId w:val="65"/>
        </w:numPr>
        <w:spacing w:after="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The benefits and risks</w:t>
      </w:r>
    </w:p>
    <w:p w14:paraId="3627B73A" w14:textId="77777777" w:rsidR="00B944C2" w:rsidRPr="00B944C2" w:rsidRDefault="00B944C2" w:rsidP="00B944C2">
      <w:pPr>
        <w:numPr>
          <w:ilvl w:val="0"/>
          <w:numId w:val="65"/>
        </w:numPr>
        <w:spacing w:after="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Data Protection and storage</w:t>
      </w:r>
    </w:p>
    <w:p w14:paraId="2CACFD25" w14:textId="77777777" w:rsidR="00B944C2" w:rsidRPr="00B944C2" w:rsidRDefault="00B944C2" w:rsidP="00B944C2">
      <w:pPr>
        <w:numPr>
          <w:ilvl w:val="0"/>
          <w:numId w:val="65"/>
        </w:numPr>
        <w:spacing w:after="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The purpose of the consent form</w:t>
      </w:r>
    </w:p>
    <w:p w14:paraId="03783C74" w14:textId="77777777" w:rsidR="00B944C2" w:rsidRPr="00B944C2" w:rsidRDefault="00B944C2" w:rsidP="00B944C2">
      <w:pPr>
        <w:numPr>
          <w:ilvl w:val="0"/>
          <w:numId w:val="65"/>
        </w:numPr>
        <w:spacing w:after="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How information will be provided and updated</w:t>
      </w:r>
    </w:p>
    <w:p w14:paraId="36B3D09C" w14:textId="77777777" w:rsidR="00B944C2" w:rsidRPr="00B944C2" w:rsidRDefault="00B944C2" w:rsidP="00B944C2">
      <w:pPr>
        <w:numPr>
          <w:ilvl w:val="0"/>
          <w:numId w:val="65"/>
        </w:numPr>
        <w:spacing w:after="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The notice periods which apply</w:t>
      </w:r>
    </w:p>
    <w:p w14:paraId="2B56B96E" w14:textId="77777777" w:rsidR="00B944C2" w:rsidRPr="00B944C2" w:rsidRDefault="00B944C2" w:rsidP="00B944C2">
      <w:pPr>
        <w:numPr>
          <w:ilvl w:val="0"/>
          <w:numId w:val="65"/>
        </w:numPr>
        <w:spacing w:after="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Contact details should they have any further questions</w:t>
      </w:r>
    </w:p>
    <w:p w14:paraId="391472C0" w14:textId="77777777" w:rsidR="00B944C2" w:rsidRPr="00B944C2" w:rsidRDefault="00B944C2" w:rsidP="00B944C2">
      <w:pPr>
        <w:numPr>
          <w:ilvl w:val="0"/>
          <w:numId w:val="65"/>
        </w:numPr>
        <w:spacing w:after="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Full details of fees and the process of collection</w:t>
      </w:r>
    </w:p>
    <w:p w14:paraId="6082F5A8" w14:textId="77777777" w:rsidR="00B944C2" w:rsidRPr="00B944C2" w:rsidRDefault="00B944C2" w:rsidP="00B944C2">
      <w:pPr>
        <w:spacing w:after="200" w:line="240" w:lineRule="auto"/>
        <w:ind w:left="360"/>
        <w:jc w:val="both"/>
        <w:rPr>
          <w:rFonts w:ascii="Arial" w:eastAsia="Times New Roman" w:hAnsi="Arial" w:cs="Arial"/>
          <w:sz w:val="24"/>
          <w:szCs w:val="24"/>
          <w:lang w:val="en-GB" w:eastAsia="sk-SK"/>
        </w:rPr>
      </w:pPr>
    </w:p>
    <w:p w14:paraId="1B1719EE"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In addition, a care plan should be prepared which uses language appropriate to the service user and avoids the use of technical language or jargon.</w:t>
      </w:r>
    </w:p>
    <w:p w14:paraId="604A8884" w14:textId="283D2AC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 xml:space="preserve">It is also important to remember that written information is only one method of sharing, and the use of diagrams, pictures, tables and flow charts could </w:t>
      </w:r>
      <w:r w:rsidR="001D6495" w:rsidRPr="00B944C2">
        <w:rPr>
          <w:rFonts w:ascii="Arial" w:eastAsia="Times New Roman" w:hAnsi="Arial" w:cs="Arial"/>
          <w:sz w:val="24"/>
          <w:szCs w:val="24"/>
          <w:lang w:val="en-GB" w:eastAsia="sk-SK"/>
        </w:rPr>
        <w:t>contribute</w:t>
      </w:r>
      <w:r w:rsidRPr="00B944C2">
        <w:rPr>
          <w:rFonts w:ascii="Arial" w:eastAsia="Times New Roman" w:hAnsi="Arial" w:cs="Arial"/>
          <w:sz w:val="24"/>
          <w:szCs w:val="24"/>
          <w:lang w:val="en-GB" w:eastAsia="sk-SK"/>
        </w:rPr>
        <w:t xml:space="preserve"> to understanding the information. There may be circumstances where video pens, podcasts, recordings or other means of sharing information may be more appropriate.</w:t>
      </w:r>
    </w:p>
    <w:p w14:paraId="26640D9E"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All of the above contribute to an informed consent decision.</w:t>
      </w:r>
    </w:p>
    <w:p w14:paraId="676B1BD2" w14:textId="77777777" w:rsidR="00B944C2" w:rsidRPr="00B944C2" w:rsidRDefault="00B944C2" w:rsidP="00B944C2">
      <w:pPr>
        <w:pStyle w:val="Heading1"/>
        <w:rPr>
          <w:lang w:eastAsia="sk-SK"/>
        </w:rPr>
      </w:pPr>
      <w:bookmarkStart w:id="4" w:name="_Toc408410431"/>
      <w:bookmarkStart w:id="5" w:name="_Toc408495618"/>
      <w:bookmarkStart w:id="6" w:name="_Toc409431109"/>
      <w:r w:rsidRPr="00B944C2">
        <w:rPr>
          <w:lang w:eastAsia="sk-SK"/>
        </w:rPr>
        <w:t>Ongoing Consent as a Process</w:t>
      </w:r>
      <w:bookmarkEnd w:id="4"/>
      <w:bookmarkEnd w:id="5"/>
      <w:bookmarkEnd w:id="6"/>
    </w:p>
    <w:p w14:paraId="131734B0"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Informed consent is an ongoing process and consequently providers must ensure that service users:</w:t>
      </w:r>
    </w:p>
    <w:p w14:paraId="7C4CFEE7" w14:textId="77777777" w:rsidR="00B944C2" w:rsidRPr="00B944C2" w:rsidRDefault="00B944C2" w:rsidP="00B944C2">
      <w:pPr>
        <w:numPr>
          <w:ilvl w:val="0"/>
          <w:numId w:val="66"/>
        </w:numPr>
        <w:spacing w:after="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Continue to understand what they are consenting to</w:t>
      </w:r>
    </w:p>
    <w:p w14:paraId="30DBE240" w14:textId="77777777" w:rsidR="00B944C2" w:rsidRPr="00B944C2" w:rsidRDefault="00B944C2" w:rsidP="00B944C2">
      <w:pPr>
        <w:numPr>
          <w:ilvl w:val="0"/>
          <w:numId w:val="66"/>
        </w:numPr>
        <w:spacing w:after="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Are provided with any new information which could influence their decision to consent</w:t>
      </w:r>
    </w:p>
    <w:p w14:paraId="7E836E50" w14:textId="1AA70CD0" w:rsidR="00B944C2" w:rsidRDefault="00B944C2" w:rsidP="00B944C2">
      <w:pPr>
        <w:numPr>
          <w:ilvl w:val="0"/>
          <w:numId w:val="66"/>
        </w:numPr>
        <w:spacing w:after="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lastRenderedPageBreak/>
        <w:t>Continue to consent to care, treatment and support in an informed environment</w:t>
      </w:r>
    </w:p>
    <w:p w14:paraId="3521FD84" w14:textId="77777777" w:rsidR="00952D7C" w:rsidRPr="00F9750E" w:rsidRDefault="00952D7C" w:rsidP="00952D7C">
      <w:pPr>
        <w:numPr>
          <w:ilvl w:val="0"/>
          <w:numId w:val="66"/>
        </w:numPr>
        <w:spacing w:after="0" w:line="240" w:lineRule="auto"/>
        <w:contextualSpacing/>
        <w:jc w:val="both"/>
        <w:rPr>
          <w:rFonts w:ascii="Arial" w:eastAsia="Calibri" w:hAnsi="Arial" w:cs="Arial"/>
          <w:sz w:val="24"/>
          <w:szCs w:val="24"/>
          <w:lang w:val="en-GB"/>
        </w:rPr>
      </w:pPr>
      <w:r w:rsidRPr="00F9750E">
        <w:rPr>
          <w:rFonts w:ascii="Arial" w:eastAsia="Calibri" w:hAnsi="Arial" w:cs="Arial"/>
          <w:sz w:val="24"/>
          <w:szCs w:val="24"/>
          <w:lang w:val="en-GB"/>
        </w:rPr>
        <w:t>No adult can consent on behalf of another adult without legal authority</w:t>
      </w:r>
    </w:p>
    <w:p w14:paraId="15A34F32" w14:textId="77777777" w:rsidR="00952D7C" w:rsidRPr="00B944C2" w:rsidRDefault="00952D7C" w:rsidP="00952D7C">
      <w:pPr>
        <w:spacing w:after="0" w:line="240" w:lineRule="auto"/>
        <w:ind w:left="1080"/>
        <w:jc w:val="both"/>
        <w:rPr>
          <w:rFonts w:ascii="Arial" w:eastAsia="Times New Roman" w:hAnsi="Arial" w:cs="Arial"/>
          <w:sz w:val="24"/>
          <w:szCs w:val="24"/>
          <w:lang w:val="en-GB" w:eastAsia="sk-SK"/>
        </w:rPr>
      </w:pPr>
    </w:p>
    <w:p w14:paraId="132BF4B1" w14:textId="77777777" w:rsidR="00B944C2" w:rsidRPr="00B944C2" w:rsidRDefault="00B944C2" w:rsidP="00B944C2">
      <w:pPr>
        <w:spacing w:after="200" w:line="240" w:lineRule="auto"/>
        <w:ind w:left="720"/>
        <w:jc w:val="both"/>
        <w:rPr>
          <w:rFonts w:ascii="Arial" w:eastAsia="Times New Roman" w:hAnsi="Arial" w:cs="Arial"/>
          <w:sz w:val="24"/>
          <w:szCs w:val="24"/>
          <w:lang w:val="en-GB" w:eastAsia="sk-SK"/>
        </w:rPr>
      </w:pPr>
    </w:p>
    <w:p w14:paraId="1856E712" w14:textId="77777777" w:rsidR="00B944C2" w:rsidRPr="00B944C2" w:rsidRDefault="00B944C2" w:rsidP="00B944C2">
      <w:pPr>
        <w:pStyle w:val="Heading1"/>
        <w:rPr>
          <w:lang w:eastAsia="sk-SK"/>
        </w:rPr>
      </w:pPr>
      <w:bookmarkStart w:id="7" w:name="_Toc408410432"/>
      <w:bookmarkStart w:id="8" w:name="_Toc408495619"/>
      <w:bookmarkStart w:id="9" w:name="_Toc409431110"/>
      <w:r w:rsidRPr="00B944C2">
        <w:rPr>
          <w:lang w:eastAsia="sk-SK"/>
        </w:rPr>
        <w:t>Reviewing Informed Consent</w:t>
      </w:r>
      <w:bookmarkEnd w:id="7"/>
      <w:bookmarkEnd w:id="8"/>
      <w:bookmarkEnd w:id="9"/>
    </w:p>
    <w:p w14:paraId="58EB5CED"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Reviewing informed consent is often done informally, but on occasions it will be appropriate for formal consent to be obtained and recorded, e.g. where there is a significant change to the care plan</w:t>
      </w:r>
    </w:p>
    <w:p w14:paraId="5858E390" w14:textId="77777777" w:rsidR="00B944C2" w:rsidRPr="00B944C2" w:rsidRDefault="00B944C2" w:rsidP="00B944C2">
      <w:pPr>
        <w:pStyle w:val="Heading1"/>
        <w:rPr>
          <w:lang w:eastAsia="sk-SK"/>
        </w:rPr>
      </w:pPr>
      <w:bookmarkStart w:id="10" w:name="_Toc408410433"/>
      <w:bookmarkStart w:id="11" w:name="_Toc408495620"/>
      <w:bookmarkStart w:id="12" w:name="_Toc409431111"/>
      <w:r w:rsidRPr="00B944C2">
        <w:rPr>
          <w:lang w:eastAsia="sk-SK"/>
        </w:rPr>
        <w:t>The Legal and Ethical Framework</w:t>
      </w:r>
      <w:bookmarkEnd w:id="10"/>
      <w:bookmarkEnd w:id="11"/>
      <w:bookmarkEnd w:id="12"/>
    </w:p>
    <w:p w14:paraId="651EE1A1"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 xml:space="preserve">“The aim of the </w:t>
      </w:r>
      <w:r w:rsidRPr="00B944C2">
        <w:rPr>
          <w:rFonts w:ascii="Arial" w:eastAsia="Times New Roman" w:hAnsi="Arial" w:cs="Arial"/>
          <w:i/>
          <w:sz w:val="24"/>
          <w:szCs w:val="24"/>
          <w:lang w:val="en-GB" w:eastAsia="sk-SK"/>
        </w:rPr>
        <w:t>Mental Capacity Act 2005</w:t>
      </w:r>
      <w:r w:rsidRPr="00B944C2">
        <w:rPr>
          <w:rFonts w:ascii="Arial" w:eastAsia="Times New Roman" w:hAnsi="Arial" w:cs="Arial"/>
          <w:sz w:val="24"/>
          <w:szCs w:val="24"/>
          <w:lang w:val="en-GB" w:eastAsia="sk-SK"/>
        </w:rPr>
        <w:t xml:space="preserve"> is to balance the importance of care, treatment and support of people who lack capacity with a need to protect their interests and respect their current and previously expressed wishes and feelings”</w:t>
      </w:r>
    </w:p>
    <w:p w14:paraId="6CC2C0EA"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The ethical principle relating to informed consent is the belief that everyone should be treated with respect, and that their diverse needs when gaining informed consent must take into account factors such as:</w:t>
      </w:r>
    </w:p>
    <w:p w14:paraId="066FD2A3" w14:textId="77777777" w:rsidR="00B944C2" w:rsidRPr="00B944C2" w:rsidRDefault="00B944C2" w:rsidP="00B944C2">
      <w:pPr>
        <w:numPr>
          <w:ilvl w:val="0"/>
          <w:numId w:val="67"/>
        </w:numPr>
        <w:spacing w:after="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Ethnicity</w:t>
      </w:r>
    </w:p>
    <w:p w14:paraId="0AF073FC" w14:textId="77777777" w:rsidR="00B944C2" w:rsidRPr="00B944C2" w:rsidRDefault="00B944C2" w:rsidP="00B944C2">
      <w:pPr>
        <w:numPr>
          <w:ilvl w:val="0"/>
          <w:numId w:val="67"/>
        </w:numPr>
        <w:spacing w:after="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Gender</w:t>
      </w:r>
    </w:p>
    <w:p w14:paraId="459E49F0" w14:textId="77777777" w:rsidR="00B944C2" w:rsidRPr="00B944C2" w:rsidRDefault="00B944C2" w:rsidP="00B944C2">
      <w:pPr>
        <w:numPr>
          <w:ilvl w:val="0"/>
          <w:numId w:val="67"/>
        </w:numPr>
        <w:spacing w:after="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Disability</w:t>
      </w:r>
    </w:p>
    <w:p w14:paraId="64874949" w14:textId="77777777" w:rsidR="00B944C2" w:rsidRPr="00B944C2" w:rsidRDefault="00B944C2" w:rsidP="00B944C2">
      <w:pPr>
        <w:numPr>
          <w:ilvl w:val="0"/>
          <w:numId w:val="67"/>
        </w:numPr>
        <w:spacing w:after="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Religious beliefs</w:t>
      </w:r>
    </w:p>
    <w:p w14:paraId="35137234" w14:textId="77777777" w:rsidR="00B944C2" w:rsidRPr="00B944C2" w:rsidRDefault="00B944C2" w:rsidP="00B944C2">
      <w:pPr>
        <w:numPr>
          <w:ilvl w:val="0"/>
          <w:numId w:val="67"/>
        </w:numPr>
        <w:spacing w:after="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Culture</w:t>
      </w:r>
    </w:p>
    <w:p w14:paraId="4610F1F5" w14:textId="77777777" w:rsidR="00B944C2" w:rsidRPr="00B944C2" w:rsidRDefault="00B944C2" w:rsidP="00B944C2">
      <w:pPr>
        <w:numPr>
          <w:ilvl w:val="0"/>
          <w:numId w:val="67"/>
        </w:numPr>
        <w:spacing w:after="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Language</w:t>
      </w:r>
    </w:p>
    <w:p w14:paraId="131F1F45" w14:textId="77777777" w:rsidR="00B944C2" w:rsidRPr="00B944C2" w:rsidRDefault="00B944C2" w:rsidP="00B944C2">
      <w:pPr>
        <w:numPr>
          <w:ilvl w:val="0"/>
          <w:numId w:val="67"/>
        </w:numPr>
        <w:spacing w:after="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Level of understanding</w:t>
      </w:r>
    </w:p>
    <w:p w14:paraId="2BFF56AF" w14:textId="77777777" w:rsidR="00B944C2" w:rsidRPr="00B944C2" w:rsidRDefault="00B944C2" w:rsidP="00B944C2">
      <w:pPr>
        <w:spacing w:after="0" w:line="240" w:lineRule="auto"/>
        <w:ind w:left="1515"/>
        <w:jc w:val="both"/>
        <w:rPr>
          <w:rFonts w:ascii="Arial" w:eastAsia="Times New Roman" w:hAnsi="Arial" w:cs="Arial"/>
          <w:sz w:val="24"/>
          <w:szCs w:val="24"/>
          <w:lang w:val="en-GB" w:eastAsia="sk-SK"/>
        </w:rPr>
      </w:pPr>
    </w:p>
    <w:p w14:paraId="7DAD4F63"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Sensitivity and care must be taken when going through the process of gaining informed consent. When the service user has made the decision relating to their care, treatment or support this organisation will respect that autonomous decision even if they disagree with it.</w:t>
      </w:r>
    </w:p>
    <w:p w14:paraId="7CCB84AB"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This respect for autonomous and informed decision making also requires that service users are never coerced into informed consent decisions. It is important to remember that service users are potentially vulnerable to such coercion by nature of their relationship with this organisation</w:t>
      </w:r>
    </w:p>
    <w:p w14:paraId="26AD9021"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UK case law on consent has established 3 requirements that need to be satisfied before a service user can give informed consent:</w:t>
      </w:r>
    </w:p>
    <w:p w14:paraId="6B7F0D24" w14:textId="77777777" w:rsidR="00B944C2" w:rsidRPr="00B944C2" w:rsidRDefault="00B944C2" w:rsidP="00B944C2">
      <w:pPr>
        <w:numPr>
          <w:ilvl w:val="0"/>
          <w:numId w:val="68"/>
        </w:numPr>
        <w:spacing w:after="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Consent should be given by someone with the mental capacity to do so</w:t>
      </w:r>
    </w:p>
    <w:p w14:paraId="0427FF0A" w14:textId="77777777" w:rsidR="00B944C2" w:rsidRPr="00B944C2" w:rsidRDefault="00B944C2" w:rsidP="00B944C2">
      <w:pPr>
        <w:numPr>
          <w:ilvl w:val="0"/>
          <w:numId w:val="68"/>
        </w:numPr>
        <w:spacing w:after="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Sufficient information should be given to the service user</w:t>
      </w:r>
    </w:p>
    <w:p w14:paraId="0D6FD7E9" w14:textId="77777777" w:rsidR="00B944C2" w:rsidRPr="00B944C2" w:rsidRDefault="00B944C2" w:rsidP="00B944C2">
      <w:pPr>
        <w:numPr>
          <w:ilvl w:val="0"/>
          <w:numId w:val="68"/>
        </w:numPr>
        <w:spacing w:after="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Consent must be freely given</w:t>
      </w:r>
    </w:p>
    <w:p w14:paraId="16BABEBE"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p>
    <w:p w14:paraId="1534423D"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If any of these requirements are lacking then the consent is invalid.</w:t>
      </w:r>
      <w:bookmarkStart w:id="13" w:name="_Toc408410434"/>
      <w:bookmarkStart w:id="14" w:name="_Toc408495621"/>
    </w:p>
    <w:p w14:paraId="10DDCF04" w14:textId="77777777" w:rsidR="00B944C2" w:rsidRPr="00B944C2" w:rsidRDefault="00B944C2" w:rsidP="00B944C2">
      <w:pPr>
        <w:pStyle w:val="Heading1"/>
        <w:rPr>
          <w:lang w:eastAsia="sk-SK"/>
        </w:rPr>
      </w:pPr>
      <w:bookmarkStart w:id="15" w:name="_Toc409431112"/>
      <w:r w:rsidRPr="00B944C2">
        <w:rPr>
          <w:lang w:eastAsia="sk-SK"/>
        </w:rPr>
        <w:lastRenderedPageBreak/>
        <w:t>Informed Consent in Special Circumstances</w:t>
      </w:r>
      <w:bookmarkEnd w:id="13"/>
      <w:bookmarkEnd w:id="14"/>
      <w:bookmarkEnd w:id="15"/>
    </w:p>
    <w:p w14:paraId="285B906A"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The principles and processes in obtaining informed consent are the same, but there are circumstances where it is not possible to gain consent via the usual practices:</w:t>
      </w:r>
    </w:p>
    <w:p w14:paraId="5BC002AE" w14:textId="77777777" w:rsidR="00B944C2" w:rsidRPr="00B944C2" w:rsidRDefault="00B944C2" w:rsidP="00B944C2">
      <w:pPr>
        <w:pStyle w:val="Heading1"/>
        <w:rPr>
          <w:lang w:eastAsia="sk-SK"/>
        </w:rPr>
      </w:pPr>
      <w:bookmarkStart w:id="16" w:name="_Toc408410435"/>
      <w:bookmarkStart w:id="17" w:name="_Toc408495622"/>
      <w:bookmarkStart w:id="18" w:name="_Toc409431113"/>
      <w:r w:rsidRPr="00B944C2">
        <w:rPr>
          <w:lang w:eastAsia="sk-SK"/>
        </w:rPr>
        <w:t>Delayed Consent</w:t>
      </w:r>
      <w:bookmarkEnd w:id="16"/>
      <w:bookmarkEnd w:id="17"/>
      <w:bookmarkEnd w:id="18"/>
    </w:p>
    <w:p w14:paraId="7033B4AF"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This usually applies in emergency situations, for instance:</w:t>
      </w:r>
    </w:p>
    <w:p w14:paraId="0AA797DC" w14:textId="32C8D3D7" w:rsidR="00B944C2" w:rsidRPr="00B944C2" w:rsidRDefault="00B944C2" w:rsidP="00B944C2">
      <w:pPr>
        <w:numPr>
          <w:ilvl w:val="0"/>
          <w:numId w:val="69"/>
        </w:numPr>
        <w:spacing w:after="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 xml:space="preserve">At the </w:t>
      </w:r>
      <w:r w:rsidR="005B5277" w:rsidRPr="00B944C2">
        <w:rPr>
          <w:rFonts w:ascii="Arial" w:eastAsia="Times New Roman" w:hAnsi="Arial" w:cs="Arial"/>
          <w:sz w:val="24"/>
          <w:szCs w:val="24"/>
          <w:lang w:val="en-GB" w:eastAsia="sk-SK"/>
        </w:rPr>
        <w:t>roadside</w:t>
      </w:r>
      <w:r w:rsidRPr="00B944C2">
        <w:rPr>
          <w:rFonts w:ascii="Arial" w:eastAsia="Times New Roman" w:hAnsi="Arial" w:cs="Arial"/>
          <w:sz w:val="24"/>
          <w:szCs w:val="24"/>
          <w:lang w:val="en-GB" w:eastAsia="sk-SK"/>
        </w:rPr>
        <w:t xml:space="preserve"> in the event of an accident</w:t>
      </w:r>
    </w:p>
    <w:p w14:paraId="5A79972E" w14:textId="77777777" w:rsidR="00B944C2" w:rsidRPr="00B944C2" w:rsidRDefault="00B944C2" w:rsidP="00B944C2">
      <w:pPr>
        <w:numPr>
          <w:ilvl w:val="0"/>
          <w:numId w:val="69"/>
        </w:numPr>
        <w:spacing w:after="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At a cardiac arrest</w:t>
      </w:r>
    </w:p>
    <w:p w14:paraId="05A9ABC3" w14:textId="77777777" w:rsidR="00B944C2" w:rsidRPr="00B944C2" w:rsidRDefault="00B944C2" w:rsidP="00B944C2">
      <w:pPr>
        <w:numPr>
          <w:ilvl w:val="0"/>
          <w:numId w:val="69"/>
        </w:numPr>
        <w:spacing w:after="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During the early stages of a person’s admission to an Accident and Emergency department.</w:t>
      </w:r>
    </w:p>
    <w:p w14:paraId="592F0878" w14:textId="77777777" w:rsidR="00B944C2" w:rsidRPr="00B944C2" w:rsidRDefault="00B944C2" w:rsidP="00B944C2">
      <w:pPr>
        <w:spacing w:after="200" w:line="240" w:lineRule="auto"/>
        <w:jc w:val="both"/>
        <w:rPr>
          <w:rFonts w:ascii="Arial" w:eastAsia="Times New Roman" w:hAnsi="Arial" w:cs="Arial"/>
          <w:b/>
          <w:sz w:val="24"/>
          <w:szCs w:val="24"/>
          <w:lang w:val="en-GB" w:eastAsia="sk-SK"/>
        </w:rPr>
      </w:pPr>
    </w:p>
    <w:p w14:paraId="7C64B902" w14:textId="5428F381"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 xml:space="preserve">In these circumstances a “Best Interest” decision will be taken by the emergency team </w:t>
      </w:r>
      <w:r w:rsidRPr="00F9750E">
        <w:rPr>
          <w:rFonts w:ascii="Arial" w:eastAsia="Times New Roman" w:hAnsi="Arial" w:cs="Arial"/>
          <w:sz w:val="24"/>
          <w:szCs w:val="24"/>
          <w:lang w:val="en-GB" w:eastAsia="sk-SK"/>
        </w:rPr>
        <w:t>involved</w:t>
      </w:r>
      <w:r w:rsidR="00952D7C" w:rsidRPr="00F9750E">
        <w:rPr>
          <w:rFonts w:ascii="Arial" w:eastAsia="Times New Roman" w:hAnsi="Arial" w:cs="Arial"/>
          <w:sz w:val="24"/>
          <w:szCs w:val="24"/>
          <w:lang w:val="en-GB" w:eastAsia="sk-SK"/>
        </w:rPr>
        <w:t xml:space="preserve"> but can only do enough to sustain life.</w:t>
      </w:r>
    </w:p>
    <w:p w14:paraId="3F1A84A0" w14:textId="77777777" w:rsidR="00B944C2" w:rsidRPr="00B944C2" w:rsidRDefault="00B944C2" w:rsidP="00B944C2">
      <w:pPr>
        <w:pStyle w:val="Heading1"/>
        <w:rPr>
          <w:lang w:eastAsia="sk-SK"/>
        </w:rPr>
      </w:pPr>
      <w:bookmarkStart w:id="19" w:name="_Toc408410436"/>
      <w:bookmarkStart w:id="20" w:name="_Toc408495623"/>
      <w:bookmarkStart w:id="21" w:name="_Toc409431114"/>
      <w:r w:rsidRPr="00B944C2">
        <w:rPr>
          <w:lang w:eastAsia="sk-SK"/>
        </w:rPr>
        <w:t>Implied Informed Consent</w:t>
      </w:r>
      <w:bookmarkEnd w:id="19"/>
      <w:bookmarkEnd w:id="20"/>
      <w:bookmarkEnd w:id="21"/>
    </w:p>
    <w:p w14:paraId="775ED48D"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This may arise when express written and/or verbal consent is not given, e.g. when a service user is asked to transfer from chair to bed; implied consent is assumed by their participation in the manoeuvre.</w:t>
      </w:r>
    </w:p>
    <w:p w14:paraId="0C0D0AAE" w14:textId="77777777" w:rsidR="00B944C2" w:rsidRPr="00B944C2" w:rsidRDefault="00B944C2" w:rsidP="00B944C2">
      <w:pPr>
        <w:pStyle w:val="Heading1"/>
        <w:rPr>
          <w:lang w:eastAsia="sk-SK"/>
        </w:rPr>
      </w:pPr>
      <w:bookmarkStart w:id="22" w:name="_Toc408410437"/>
      <w:bookmarkStart w:id="23" w:name="_Toc408495624"/>
      <w:bookmarkStart w:id="24" w:name="_Toc409431115"/>
      <w:r w:rsidRPr="00B944C2">
        <w:rPr>
          <w:lang w:eastAsia="sk-SK"/>
        </w:rPr>
        <w:t>The Process of Gaining Informed Consent</w:t>
      </w:r>
      <w:bookmarkEnd w:id="22"/>
      <w:bookmarkEnd w:id="23"/>
      <w:bookmarkEnd w:id="24"/>
    </w:p>
    <w:p w14:paraId="6B5F6696"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Below are the factors to be considered when going through the process of obtaining informed consent.</w:t>
      </w:r>
    </w:p>
    <w:p w14:paraId="45EF7D3B" w14:textId="77777777" w:rsidR="00B944C2" w:rsidRPr="00B944C2" w:rsidRDefault="00B944C2" w:rsidP="00B944C2">
      <w:pPr>
        <w:pStyle w:val="Heading1"/>
        <w:rPr>
          <w:lang w:eastAsia="sk-SK"/>
        </w:rPr>
      </w:pPr>
      <w:bookmarkStart w:id="25" w:name="_Toc408410438"/>
      <w:bookmarkStart w:id="26" w:name="_Toc408495625"/>
      <w:bookmarkStart w:id="27" w:name="_Toc409431116"/>
      <w:r w:rsidRPr="00B944C2">
        <w:rPr>
          <w:lang w:eastAsia="sk-SK"/>
        </w:rPr>
        <w:t>The Discussion</w:t>
      </w:r>
      <w:bookmarkEnd w:id="25"/>
      <w:bookmarkEnd w:id="26"/>
      <w:bookmarkEnd w:id="27"/>
    </w:p>
    <w:p w14:paraId="0FA41A47"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It is important to make service users, their family or representative as comfortable as possible at the assessment of needs stage in order that they are able to concentrate and feel confident enough to ask questions. The location should be private and free of any interruptions, where possible.  Where necessary, repeat, explain and re-enforce the information given. Always ask questions to check their understanding of the information.</w:t>
      </w:r>
    </w:p>
    <w:p w14:paraId="2590C11A"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It is also important to think about the timing and context of the discussion, e.g. service users who have just been given news of a life-threatening illness are unlikely to be able to make informed decisions regarding, care, treatment or support whilst struggling to come to terms with their situation. Such issues will need to be considered at different intervals.</w:t>
      </w:r>
      <w:bookmarkStart w:id="28" w:name="_Toc408410439"/>
      <w:bookmarkStart w:id="29" w:name="_Toc408495626"/>
      <w:bookmarkStart w:id="30" w:name="_Toc409431117"/>
    </w:p>
    <w:p w14:paraId="3D4CDBD6" w14:textId="77777777" w:rsidR="00B944C2" w:rsidRPr="00B944C2" w:rsidRDefault="00B944C2" w:rsidP="00B944C2">
      <w:pPr>
        <w:pStyle w:val="Heading1"/>
        <w:rPr>
          <w:rFonts w:cs="Arial"/>
          <w:lang w:eastAsia="sk-SK"/>
        </w:rPr>
      </w:pPr>
      <w:r w:rsidRPr="00B944C2">
        <w:rPr>
          <w:lang w:eastAsia="sk-SK"/>
        </w:rPr>
        <w:lastRenderedPageBreak/>
        <w:t>Acknowledging Diversity</w:t>
      </w:r>
      <w:bookmarkEnd w:id="28"/>
      <w:bookmarkEnd w:id="29"/>
      <w:bookmarkEnd w:id="30"/>
    </w:p>
    <w:p w14:paraId="489A6EF8"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It is important to acknowledge diversity alongside other factors when gaining informed consent. Asking questions can help to understand service user’s needs and how these can best be met.</w:t>
      </w:r>
      <w:bookmarkStart w:id="31" w:name="_Toc408410440"/>
      <w:bookmarkStart w:id="32" w:name="_Toc408495627"/>
    </w:p>
    <w:p w14:paraId="679FEBD8" w14:textId="77777777" w:rsidR="00B944C2" w:rsidRPr="00B944C2" w:rsidRDefault="00B944C2" w:rsidP="00CE53AF">
      <w:pPr>
        <w:pStyle w:val="Heading1"/>
        <w:rPr>
          <w:lang w:eastAsia="sk-SK"/>
        </w:rPr>
      </w:pPr>
      <w:bookmarkStart w:id="33" w:name="_Toc409431118"/>
      <w:r w:rsidRPr="00B944C2">
        <w:rPr>
          <w:lang w:eastAsia="sk-SK"/>
        </w:rPr>
        <w:t>Re-enforcing the discussion</w:t>
      </w:r>
      <w:bookmarkEnd w:id="31"/>
      <w:bookmarkEnd w:id="32"/>
      <w:bookmarkEnd w:id="33"/>
    </w:p>
    <w:p w14:paraId="7D27AFCE"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It is not enough to give service users a verbal explanation of their care, treatment or support; their understanding of the, frequently complex and detailed, information which they have been given must also be ensured. To this end, it may be necessary to prepare information material in different formats and languages, where appropriate.</w:t>
      </w:r>
    </w:p>
    <w:p w14:paraId="76907914" w14:textId="77777777" w:rsidR="00B944C2" w:rsidRPr="00B944C2" w:rsidRDefault="00B944C2" w:rsidP="00CE53AF">
      <w:pPr>
        <w:pStyle w:val="Heading1"/>
        <w:rPr>
          <w:lang w:eastAsia="sk-SK"/>
        </w:rPr>
      </w:pPr>
      <w:bookmarkStart w:id="34" w:name="_Toc408410441"/>
      <w:bookmarkStart w:id="35" w:name="_Toc408495628"/>
      <w:bookmarkStart w:id="36" w:name="_Toc409431119"/>
      <w:r w:rsidRPr="00B944C2">
        <w:rPr>
          <w:lang w:eastAsia="sk-SK"/>
        </w:rPr>
        <w:t>Consent Form</w:t>
      </w:r>
      <w:bookmarkEnd w:id="34"/>
      <w:bookmarkEnd w:id="35"/>
      <w:bookmarkEnd w:id="36"/>
    </w:p>
    <w:p w14:paraId="1F81EF3A"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The signing of such a form has become standard practice in confirming that the service user has freely given their informed consent to care, treatment or support they receive. Service users should not be asked to sign the consent form until they have been given adequate information and time to consider their decision. It is important to explain verbally all aspects of their care, treatment or support and check their understanding.</w:t>
      </w:r>
    </w:p>
    <w:p w14:paraId="56C33A64" w14:textId="0CBAB69D"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 xml:space="preserve">During the assessment of needs </w:t>
      </w:r>
      <w:r w:rsidR="006720EA" w:rsidRPr="00B944C2">
        <w:rPr>
          <w:rFonts w:ascii="Arial" w:eastAsia="Times New Roman" w:hAnsi="Arial" w:cs="Arial"/>
          <w:sz w:val="24"/>
          <w:szCs w:val="24"/>
          <w:lang w:val="en-GB" w:eastAsia="sk-SK"/>
        </w:rPr>
        <w:t>process,</w:t>
      </w:r>
      <w:r w:rsidRPr="00B944C2">
        <w:rPr>
          <w:rFonts w:ascii="Arial" w:eastAsia="Times New Roman" w:hAnsi="Arial" w:cs="Arial"/>
          <w:sz w:val="24"/>
          <w:szCs w:val="24"/>
          <w:lang w:val="en-GB" w:eastAsia="sk-SK"/>
        </w:rPr>
        <w:t xml:space="preserve"> it is important to engage with the service users, their families or representatives in a meaningful and professional manner in order to make the process work</w:t>
      </w:r>
    </w:p>
    <w:p w14:paraId="1AA4029F" w14:textId="155C30E5" w:rsidR="00B944C2" w:rsidRPr="00B944C2" w:rsidRDefault="00B944C2" w:rsidP="00CE53AF">
      <w:pPr>
        <w:pStyle w:val="Heading1"/>
        <w:rPr>
          <w:lang w:eastAsia="sk-SK"/>
        </w:rPr>
      </w:pPr>
      <w:bookmarkStart w:id="37" w:name="_Toc408410442"/>
      <w:bookmarkStart w:id="38" w:name="_Toc408495629"/>
      <w:bookmarkStart w:id="39" w:name="_Toc409431120"/>
      <w:r w:rsidRPr="00B944C2">
        <w:rPr>
          <w:lang w:eastAsia="sk-SK"/>
        </w:rPr>
        <w:t xml:space="preserve">Service </w:t>
      </w:r>
      <w:r w:rsidR="00CE53AF">
        <w:rPr>
          <w:lang w:eastAsia="sk-SK"/>
        </w:rPr>
        <w:t>U</w:t>
      </w:r>
      <w:r w:rsidRPr="00B944C2">
        <w:rPr>
          <w:lang w:eastAsia="sk-SK"/>
        </w:rPr>
        <w:t>sers</w:t>
      </w:r>
      <w:bookmarkEnd w:id="37"/>
      <w:bookmarkEnd w:id="38"/>
      <w:bookmarkEnd w:id="39"/>
    </w:p>
    <w:p w14:paraId="21053DA5"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The “Statement of Government policy on Adult Safeguarding”, issued by the Department of Health, introduces 6 principles of safeguarding adults.</w:t>
      </w:r>
    </w:p>
    <w:p w14:paraId="611A990A" w14:textId="3A519BAF"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 xml:space="preserve">The principle of empowerment is based on a presumption of person-led decision making and informed consent. This new principle should be prioritised in working with adults. This includes </w:t>
      </w:r>
      <w:r w:rsidR="005B5277" w:rsidRPr="00B944C2">
        <w:rPr>
          <w:rFonts w:ascii="Arial" w:eastAsia="Times New Roman" w:hAnsi="Arial" w:cs="Arial"/>
          <w:sz w:val="24"/>
          <w:szCs w:val="24"/>
          <w:lang w:val="en-GB" w:eastAsia="sk-SK"/>
        </w:rPr>
        <w:t>safeguarding but</w:t>
      </w:r>
      <w:r w:rsidRPr="00B944C2">
        <w:rPr>
          <w:rFonts w:ascii="Arial" w:eastAsia="Times New Roman" w:hAnsi="Arial" w:cs="Arial"/>
          <w:sz w:val="24"/>
          <w:szCs w:val="24"/>
          <w:lang w:val="en-GB" w:eastAsia="sk-SK"/>
        </w:rPr>
        <w:t xml:space="preserve"> must also be seen as the individual being able to take person led decisions, and that their views and wishes are to be listened to and respected. Where lack of capacity is an issue the </w:t>
      </w:r>
      <w:r w:rsidRPr="00B944C2">
        <w:rPr>
          <w:rFonts w:ascii="Arial" w:eastAsia="Times New Roman" w:hAnsi="Arial" w:cs="Arial"/>
          <w:i/>
          <w:sz w:val="24"/>
          <w:szCs w:val="24"/>
          <w:lang w:val="en-GB" w:eastAsia="sk-SK"/>
        </w:rPr>
        <w:t>Mental Capacity Act 2005</w:t>
      </w:r>
      <w:r w:rsidRPr="00B944C2">
        <w:rPr>
          <w:rFonts w:ascii="Arial" w:eastAsia="Times New Roman" w:hAnsi="Arial" w:cs="Arial"/>
          <w:sz w:val="24"/>
          <w:szCs w:val="24"/>
          <w:lang w:val="en-GB" w:eastAsia="sk-SK"/>
        </w:rPr>
        <w:t xml:space="preserve"> Code of Practice must be observed.</w:t>
      </w:r>
    </w:p>
    <w:p w14:paraId="546DF404"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 xml:space="preserve">Assessing a service user’s capacity to give informed consent autonomously is an essential part of the informed consent process. This can prove challenging, however, so it is important to involve multi-agency partners and others who know the service user in making such decisions. It is important to remember that the </w:t>
      </w:r>
      <w:r w:rsidRPr="00B944C2">
        <w:rPr>
          <w:rFonts w:ascii="Arial" w:eastAsia="Times New Roman" w:hAnsi="Arial" w:cs="Arial"/>
          <w:i/>
          <w:sz w:val="24"/>
          <w:szCs w:val="24"/>
          <w:lang w:val="en-GB" w:eastAsia="sk-SK"/>
        </w:rPr>
        <w:t>Mental Capacity Act 2005</w:t>
      </w:r>
      <w:r w:rsidRPr="00B944C2">
        <w:rPr>
          <w:rFonts w:ascii="Arial" w:eastAsia="Times New Roman" w:hAnsi="Arial" w:cs="Arial"/>
          <w:sz w:val="24"/>
          <w:szCs w:val="24"/>
          <w:lang w:val="en-GB" w:eastAsia="sk-SK"/>
        </w:rPr>
        <w:t xml:space="preserve"> begins with the presumption of competence, and that capacity can fluctuate and be affected according to the manner in which information is conveyed.</w:t>
      </w:r>
    </w:p>
    <w:p w14:paraId="19372010"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The provision of accurate and meaningful information is at the very heart of acquiring informed consent.</w:t>
      </w:r>
    </w:p>
    <w:p w14:paraId="72D5BAC9"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Below are factors to consider when working with service users or groups who may be considered vulnerable.</w:t>
      </w:r>
    </w:p>
    <w:p w14:paraId="0C6B9AF9" w14:textId="77777777" w:rsidR="00B944C2" w:rsidRPr="00B944C2" w:rsidRDefault="00B944C2" w:rsidP="00CE53AF">
      <w:pPr>
        <w:pStyle w:val="Heading1"/>
        <w:rPr>
          <w:lang w:eastAsia="sk-SK"/>
        </w:rPr>
      </w:pPr>
      <w:bookmarkStart w:id="40" w:name="_Toc408410443"/>
      <w:bookmarkStart w:id="41" w:name="_Toc408495630"/>
      <w:bookmarkStart w:id="42" w:name="_Toc409431121"/>
      <w:r w:rsidRPr="00B944C2">
        <w:rPr>
          <w:lang w:eastAsia="sk-SK"/>
        </w:rPr>
        <w:lastRenderedPageBreak/>
        <w:t>Recognising Special Needs</w:t>
      </w:r>
      <w:bookmarkEnd w:id="40"/>
      <w:bookmarkEnd w:id="41"/>
      <w:bookmarkEnd w:id="42"/>
    </w:p>
    <w:p w14:paraId="1724EFF1"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Service users can have a range of special needs which should to be taken into account, but which are not always obvious: some service users may conceal them; some service users with reading or writing difficulties may conceal their limitations due to embarrassment (e.g. “I’ve forgotten my glasses, I will read it later”) while others may have visual or hearing impairment, illness or emotional difficulties.</w:t>
      </w:r>
    </w:p>
    <w:p w14:paraId="7F15ADD7"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It is vital therefore to explore the service user’s abilities sensitively. The ability to process information can slow with age so older people should be given plenty of time and opportunity to ask questions, and to think about whether they desire the care, treatment and support. It is important, however, that older people are encouraged to participate fully in the consent process.</w:t>
      </w:r>
    </w:p>
    <w:p w14:paraId="7DBB0145" w14:textId="77777777" w:rsidR="00B944C2" w:rsidRPr="00B944C2" w:rsidRDefault="00B944C2" w:rsidP="00CE53AF">
      <w:pPr>
        <w:pStyle w:val="Heading1"/>
        <w:rPr>
          <w:lang w:eastAsia="sk-SK"/>
        </w:rPr>
      </w:pPr>
      <w:bookmarkStart w:id="43" w:name="_Toc408410444"/>
      <w:bookmarkStart w:id="44" w:name="_Toc408495631"/>
      <w:bookmarkStart w:id="45" w:name="_Toc409431122"/>
      <w:r w:rsidRPr="00B944C2">
        <w:rPr>
          <w:lang w:eastAsia="sk-SK"/>
        </w:rPr>
        <w:t>Capacity to Decide</w:t>
      </w:r>
      <w:bookmarkEnd w:id="43"/>
      <w:bookmarkEnd w:id="44"/>
      <w:bookmarkEnd w:id="45"/>
    </w:p>
    <w:p w14:paraId="0A2CB120" w14:textId="41A4609B" w:rsidR="00B944C2" w:rsidRPr="00246D7B"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 xml:space="preserve">Service users can only give consent if they are capable of choosing between alternative courses of action. This means they must be able to understand the information given to them. Where a service user lacks capacity a best-interest decision involving </w:t>
      </w:r>
      <w:r w:rsidR="006720EA" w:rsidRPr="00B944C2">
        <w:rPr>
          <w:rFonts w:ascii="Arial" w:eastAsia="Times New Roman" w:hAnsi="Arial" w:cs="Arial"/>
          <w:sz w:val="24"/>
          <w:szCs w:val="24"/>
          <w:lang w:val="en-GB" w:eastAsia="sk-SK"/>
        </w:rPr>
        <w:t>those,</w:t>
      </w:r>
      <w:r w:rsidRPr="00B944C2">
        <w:rPr>
          <w:rFonts w:ascii="Arial" w:eastAsia="Times New Roman" w:hAnsi="Arial" w:cs="Arial"/>
          <w:sz w:val="24"/>
          <w:szCs w:val="24"/>
          <w:lang w:val="en-GB" w:eastAsia="sk-SK"/>
        </w:rPr>
        <w:t xml:space="preserve"> who know the service user should be instigated using the </w:t>
      </w:r>
      <w:r w:rsidRPr="00B944C2">
        <w:rPr>
          <w:rFonts w:ascii="Arial" w:eastAsia="Times New Roman" w:hAnsi="Arial" w:cs="Arial"/>
          <w:i/>
          <w:sz w:val="24"/>
          <w:szCs w:val="24"/>
          <w:lang w:val="en-GB" w:eastAsia="sk-SK"/>
        </w:rPr>
        <w:t>Mental Capacity Act 2005</w:t>
      </w:r>
      <w:r w:rsidRPr="00B944C2">
        <w:rPr>
          <w:rFonts w:ascii="Arial" w:eastAsia="Times New Roman" w:hAnsi="Arial" w:cs="Arial"/>
          <w:sz w:val="24"/>
          <w:szCs w:val="24"/>
          <w:lang w:val="en-GB" w:eastAsia="sk-SK"/>
        </w:rPr>
        <w:t xml:space="preserve"> Code of Practice and the local Mental Capacity team guidance</w:t>
      </w:r>
      <w:r w:rsidRPr="00B944C2">
        <w:rPr>
          <w:rFonts w:ascii="Arial" w:eastAsia="Times New Roman" w:hAnsi="Arial" w:cs="Arial"/>
          <w:b/>
          <w:sz w:val="24"/>
          <w:szCs w:val="24"/>
          <w:lang w:val="en-GB" w:eastAsia="sk-SK"/>
        </w:rPr>
        <w:t xml:space="preserve"> </w:t>
      </w:r>
      <w:bookmarkStart w:id="46" w:name="ConsentInput1"/>
      <w:bookmarkEnd w:id="46"/>
      <w:r w:rsidR="00246D7B" w:rsidRPr="00246D7B">
        <w:rPr>
          <w:rFonts w:ascii="Arial" w:eastAsia="Times New Roman" w:hAnsi="Arial" w:cs="Arial"/>
          <w:sz w:val="24"/>
          <w:szCs w:val="24"/>
          <w:lang w:val="en-GB" w:eastAsia="sk-SK"/>
        </w:rPr>
        <w:t>which is Torbay Care Trust.</w:t>
      </w:r>
    </w:p>
    <w:p w14:paraId="6F93D23E" w14:textId="3C95EE6D" w:rsidR="00B944C2" w:rsidRPr="00B944C2" w:rsidRDefault="00B944C2" w:rsidP="00CE53AF">
      <w:pPr>
        <w:pStyle w:val="Heading1"/>
        <w:rPr>
          <w:lang w:eastAsia="sk-SK"/>
        </w:rPr>
      </w:pPr>
      <w:bookmarkStart w:id="47" w:name="_Toc408410445"/>
      <w:bookmarkStart w:id="48" w:name="_Toc408495632"/>
      <w:bookmarkStart w:id="49" w:name="_Toc409431123"/>
      <w:r w:rsidRPr="00B944C2">
        <w:rPr>
          <w:lang w:eastAsia="sk-SK"/>
        </w:rPr>
        <w:t xml:space="preserve">Service </w:t>
      </w:r>
      <w:r w:rsidR="00CE53AF">
        <w:rPr>
          <w:lang w:eastAsia="sk-SK"/>
        </w:rPr>
        <w:t>U</w:t>
      </w:r>
      <w:r w:rsidRPr="00B944C2">
        <w:rPr>
          <w:lang w:eastAsia="sk-SK"/>
        </w:rPr>
        <w:t>ser with Learning Disabilit</w:t>
      </w:r>
      <w:bookmarkEnd w:id="47"/>
      <w:bookmarkEnd w:id="48"/>
      <w:r w:rsidRPr="00B944C2">
        <w:rPr>
          <w:lang w:eastAsia="sk-SK"/>
        </w:rPr>
        <w:t>ies</w:t>
      </w:r>
      <w:bookmarkEnd w:id="49"/>
    </w:p>
    <w:p w14:paraId="14F58884"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Service users with learning disabilities must be accorded the same respect as anyone else. Some may not be able to exercise fully their right to self-determination, but nonetheless should be offered choices within their capabilities.</w:t>
      </w:r>
    </w:p>
    <w:p w14:paraId="2A82EA53" w14:textId="1B2AA0A8"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 xml:space="preserve">Care should be taken in evaluating each individual’s comprehension; use plain language, supported if </w:t>
      </w:r>
      <w:r w:rsidR="006720EA" w:rsidRPr="00B944C2">
        <w:rPr>
          <w:rFonts w:ascii="Arial" w:eastAsia="Times New Roman" w:hAnsi="Arial" w:cs="Arial"/>
          <w:sz w:val="24"/>
          <w:szCs w:val="24"/>
          <w:lang w:val="en-GB" w:eastAsia="sk-SK"/>
        </w:rPr>
        <w:t>necessary,</w:t>
      </w:r>
      <w:r w:rsidRPr="00B944C2">
        <w:rPr>
          <w:rFonts w:ascii="Arial" w:eastAsia="Times New Roman" w:hAnsi="Arial" w:cs="Arial"/>
          <w:sz w:val="24"/>
          <w:szCs w:val="24"/>
          <w:lang w:val="en-GB" w:eastAsia="sk-SK"/>
        </w:rPr>
        <w:t xml:space="preserve"> by using other materials such as pictures. Dependent upon the needs of the service user, it may be necessary to present the information in different formats or over a longer duration.</w:t>
      </w:r>
    </w:p>
    <w:p w14:paraId="7B6438BB"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Every effort should be made to seek informed consent. It may be necessary to involve a range of multi-agency partners who are knowledgeable about the service user’s situation and can contribute to an assessment of their best interests.</w:t>
      </w:r>
    </w:p>
    <w:p w14:paraId="4EE1622E" w14:textId="77777777" w:rsidR="00B944C2" w:rsidRPr="00B944C2" w:rsidRDefault="00B944C2" w:rsidP="00CE53AF">
      <w:pPr>
        <w:pStyle w:val="Heading1"/>
        <w:rPr>
          <w:lang w:eastAsia="sk-SK"/>
        </w:rPr>
      </w:pPr>
      <w:bookmarkStart w:id="50" w:name="_Toc408410446"/>
      <w:bookmarkStart w:id="51" w:name="_Toc408495633"/>
      <w:bookmarkStart w:id="52" w:name="_Toc409431124"/>
      <w:r w:rsidRPr="00B944C2">
        <w:rPr>
          <w:lang w:eastAsia="sk-SK"/>
        </w:rPr>
        <w:t>Conclusion</w:t>
      </w:r>
      <w:bookmarkEnd w:id="50"/>
      <w:bookmarkEnd w:id="51"/>
      <w:bookmarkEnd w:id="52"/>
    </w:p>
    <w:p w14:paraId="37806F7B" w14:textId="77777777" w:rsidR="00B944C2"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The key principles in obtaining informed consent are to put the service user’s needs first. To participate effectively in informed consent processes all staff should have the knowledge, expertise and competencies to give sufficient information in an appropriate format and be able to answer any questions raised by the service user, their family or representative.</w:t>
      </w:r>
    </w:p>
    <w:p w14:paraId="61D5E959" w14:textId="795DD541" w:rsidR="00184161" w:rsidRPr="00B944C2" w:rsidRDefault="00B944C2" w:rsidP="00B944C2">
      <w:pPr>
        <w:spacing w:after="200" w:line="240" w:lineRule="auto"/>
        <w:jc w:val="both"/>
        <w:rPr>
          <w:rFonts w:ascii="Arial" w:eastAsia="Times New Roman" w:hAnsi="Arial" w:cs="Arial"/>
          <w:sz w:val="24"/>
          <w:szCs w:val="24"/>
          <w:lang w:val="en-GB" w:eastAsia="sk-SK"/>
        </w:rPr>
      </w:pPr>
      <w:r w:rsidRPr="00B944C2">
        <w:rPr>
          <w:rFonts w:ascii="Arial" w:eastAsia="Times New Roman" w:hAnsi="Arial" w:cs="Arial"/>
          <w:sz w:val="24"/>
          <w:szCs w:val="24"/>
          <w:lang w:val="en-GB" w:eastAsia="sk-SK"/>
        </w:rPr>
        <w:t>It is vital that the relevant staff be able to assess a service user’s capacity to give informed consent. If staff are open, honest and ensure the service user’s understanding, then truly informed consent will be obtained.</w:t>
      </w:r>
    </w:p>
    <w:p w14:paraId="6D58605D" w14:textId="10B51802" w:rsidR="00962E1E" w:rsidRDefault="00B14A79" w:rsidP="00EE173D">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bookmarkStart w:id="53" w:name="_Hlk527548380"/>
      <w:r w:rsidRPr="002E7BED">
        <w:rPr>
          <w:rFonts w:ascii="Arial" w:eastAsia="HGGothicM" w:hAnsi="Arial" w:cs="Arial"/>
          <w:b/>
          <w:bCs/>
          <w:color w:val="365F91" w:themeColor="accent1" w:themeShade="BF"/>
          <w:sz w:val="24"/>
          <w:szCs w:val="24"/>
          <w:lang w:bidi="en-US"/>
        </w:rPr>
        <w:lastRenderedPageBreak/>
        <w:t>Related Policies</w:t>
      </w:r>
    </w:p>
    <w:p w14:paraId="0E66C146" w14:textId="77777777" w:rsidR="00B944C2" w:rsidRDefault="00B944C2" w:rsidP="00EE173D">
      <w:pPr>
        <w:keepNext/>
        <w:keepLines/>
        <w:spacing w:before="360" w:after="0" w:line="240" w:lineRule="auto"/>
        <w:jc w:val="both"/>
        <w:outlineLvl w:val="0"/>
        <w:rPr>
          <w:rFonts w:ascii="Arial" w:eastAsia="HGGothicM" w:hAnsi="Arial" w:cs="Arial"/>
          <w:b/>
          <w:bCs/>
          <w:color w:val="365F91" w:themeColor="accent1" w:themeShade="BF"/>
          <w:sz w:val="24"/>
          <w:szCs w:val="24"/>
          <w:lang w:bidi="en-US"/>
        </w:rPr>
      </w:pPr>
    </w:p>
    <w:p w14:paraId="430DE369" w14:textId="77777777" w:rsidR="00B944C2" w:rsidRPr="00B944C2" w:rsidRDefault="00B944C2" w:rsidP="00B944C2">
      <w:pPr>
        <w:spacing w:after="200"/>
        <w:jc w:val="both"/>
        <w:rPr>
          <w:rFonts w:ascii="Arial" w:eastAsia="Times New Roman" w:hAnsi="Arial" w:cs="Times New Roman"/>
          <w:sz w:val="24"/>
          <w:szCs w:val="24"/>
          <w:lang w:val="en-GB"/>
        </w:rPr>
      </w:pPr>
      <w:r w:rsidRPr="00B944C2">
        <w:rPr>
          <w:rFonts w:ascii="Arial" w:eastAsia="Times New Roman" w:hAnsi="Arial" w:cs="Times New Roman"/>
          <w:sz w:val="24"/>
          <w:szCs w:val="24"/>
          <w:lang w:val="en-GB"/>
        </w:rPr>
        <w:t>Accessible Information and Communication</w:t>
      </w:r>
    </w:p>
    <w:p w14:paraId="06DA07E4" w14:textId="77777777" w:rsidR="00B944C2" w:rsidRPr="00B944C2" w:rsidRDefault="00B944C2" w:rsidP="00B944C2">
      <w:pPr>
        <w:spacing w:after="200"/>
        <w:jc w:val="both"/>
        <w:rPr>
          <w:rFonts w:ascii="Arial" w:eastAsia="Times New Roman" w:hAnsi="Arial" w:cs="Times New Roman"/>
          <w:sz w:val="24"/>
          <w:szCs w:val="24"/>
          <w:lang w:val="en-GB"/>
        </w:rPr>
      </w:pPr>
      <w:r w:rsidRPr="00B944C2">
        <w:rPr>
          <w:rFonts w:ascii="Arial" w:eastAsia="Times New Roman" w:hAnsi="Arial" w:cs="Times New Roman"/>
          <w:sz w:val="24"/>
          <w:szCs w:val="24"/>
          <w:lang w:val="en-GB"/>
        </w:rPr>
        <w:t>Adult Safeguarding</w:t>
      </w:r>
    </w:p>
    <w:p w14:paraId="756D7A03" w14:textId="77777777" w:rsidR="00B944C2" w:rsidRPr="00B944C2" w:rsidRDefault="00B944C2" w:rsidP="00B944C2">
      <w:pPr>
        <w:spacing w:after="200"/>
        <w:jc w:val="both"/>
        <w:rPr>
          <w:rFonts w:ascii="Arial" w:eastAsia="Times New Roman" w:hAnsi="Arial" w:cs="Times New Roman"/>
          <w:sz w:val="24"/>
          <w:szCs w:val="24"/>
          <w:lang w:val="en-GB"/>
        </w:rPr>
      </w:pPr>
      <w:r w:rsidRPr="00B944C2">
        <w:rPr>
          <w:rFonts w:ascii="Arial" w:eastAsia="Times New Roman" w:hAnsi="Arial" w:cs="Times New Roman"/>
          <w:sz w:val="24"/>
          <w:szCs w:val="24"/>
          <w:lang w:val="en-GB"/>
        </w:rPr>
        <w:t>Assessment of Need and Eligibility</w:t>
      </w:r>
    </w:p>
    <w:p w14:paraId="03EEAA2C" w14:textId="77777777" w:rsidR="00B944C2" w:rsidRPr="00B944C2" w:rsidRDefault="00B944C2" w:rsidP="00B944C2">
      <w:pPr>
        <w:spacing w:after="200"/>
        <w:jc w:val="both"/>
        <w:rPr>
          <w:rFonts w:ascii="Arial" w:eastAsia="Times New Roman" w:hAnsi="Arial" w:cs="Times New Roman"/>
          <w:sz w:val="24"/>
          <w:szCs w:val="24"/>
          <w:lang w:val="en-GB"/>
        </w:rPr>
      </w:pPr>
      <w:r w:rsidRPr="00B944C2">
        <w:rPr>
          <w:rFonts w:ascii="Arial" w:eastAsia="Times New Roman" w:hAnsi="Arial" w:cs="Times New Roman"/>
          <w:sz w:val="24"/>
          <w:szCs w:val="24"/>
          <w:lang w:val="en-GB"/>
        </w:rPr>
        <w:t>Care and Support Planning</w:t>
      </w:r>
    </w:p>
    <w:p w14:paraId="76030ECE" w14:textId="77777777" w:rsidR="00B944C2" w:rsidRPr="00B944C2" w:rsidRDefault="00B944C2" w:rsidP="00B944C2">
      <w:pPr>
        <w:spacing w:after="200"/>
        <w:jc w:val="both"/>
        <w:rPr>
          <w:rFonts w:ascii="Arial" w:eastAsia="Times New Roman" w:hAnsi="Arial" w:cs="Times New Roman"/>
          <w:sz w:val="24"/>
          <w:szCs w:val="24"/>
          <w:lang w:val="en-GB"/>
        </w:rPr>
      </w:pPr>
      <w:r w:rsidRPr="00B944C2">
        <w:rPr>
          <w:rFonts w:ascii="Arial" w:eastAsia="Times New Roman" w:hAnsi="Arial" w:cs="Times New Roman"/>
          <w:sz w:val="24"/>
          <w:szCs w:val="24"/>
          <w:lang w:val="en-GB"/>
        </w:rPr>
        <w:t>Cyber Security</w:t>
      </w:r>
    </w:p>
    <w:p w14:paraId="6E5BF735" w14:textId="3C5469D9" w:rsidR="00B944C2" w:rsidRPr="00B944C2" w:rsidRDefault="00B944C2" w:rsidP="00B944C2">
      <w:pPr>
        <w:spacing w:after="200"/>
        <w:jc w:val="both"/>
        <w:rPr>
          <w:rFonts w:ascii="Arial" w:eastAsia="Times New Roman" w:hAnsi="Arial" w:cs="Times New Roman"/>
          <w:sz w:val="24"/>
          <w:szCs w:val="24"/>
          <w:lang w:val="en-GB"/>
        </w:rPr>
      </w:pPr>
      <w:r w:rsidRPr="00B944C2">
        <w:rPr>
          <w:rFonts w:ascii="Arial" w:eastAsia="Times New Roman" w:hAnsi="Arial" w:cs="Times New Roman"/>
          <w:sz w:val="24"/>
          <w:szCs w:val="24"/>
          <w:lang w:val="en-GB"/>
        </w:rPr>
        <w:t xml:space="preserve">Data Protection Legislative </w:t>
      </w:r>
      <w:r w:rsidR="00171F5E" w:rsidRPr="00B944C2">
        <w:rPr>
          <w:rFonts w:ascii="Arial" w:eastAsia="Times New Roman" w:hAnsi="Arial" w:cs="Times New Roman"/>
          <w:sz w:val="24"/>
          <w:szCs w:val="24"/>
          <w:lang w:val="en-GB"/>
        </w:rPr>
        <w:t>Framework (</w:t>
      </w:r>
      <w:r w:rsidRPr="00B944C2">
        <w:rPr>
          <w:rFonts w:ascii="Arial" w:eastAsia="Times New Roman" w:hAnsi="Arial" w:cs="Times New Roman"/>
          <w:sz w:val="24"/>
          <w:szCs w:val="24"/>
          <w:lang w:val="en-GB"/>
        </w:rPr>
        <w:t>GDPR)</w:t>
      </w:r>
    </w:p>
    <w:p w14:paraId="5927AE8E" w14:textId="77777777" w:rsidR="00B944C2" w:rsidRPr="00B944C2" w:rsidRDefault="00B944C2" w:rsidP="00B944C2">
      <w:pPr>
        <w:spacing w:after="200"/>
        <w:jc w:val="both"/>
        <w:rPr>
          <w:rFonts w:ascii="Arial" w:eastAsia="Times New Roman" w:hAnsi="Arial" w:cs="Times New Roman"/>
          <w:sz w:val="24"/>
          <w:szCs w:val="24"/>
          <w:lang w:val="en-GB"/>
        </w:rPr>
      </w:pPr>
      <w:r w:rsidRPr="00B944C2">
        <w:rPr>
          <w:rFonts w:ascii="Arial" w:eastAsia="Times New Roman" w:hAnsi="Arial" w:cs="Times New Roman"/>
          <w:sz w:val="24"/>
          <w:szCs w:val="24"/>
          <w:lang w:val="en-GB"/>
        </w:rPr>
        <w:t>Deprivation of Liberty Safeguards</w:t>
      </w:r>
    </w:p>
    <w:p w14:paraId="626052A1" w14:textId="77777777" w:rsidR="00B944C2" w:rsidRPr="00B944C2" w:rsidRDefault="00B944C2" w:rsidP="00B944C2">
      <w:pPr>
        <w:spacing w:after="200"/>
        <w:jc w:val="both"/>
        <w:rPr>
          <w:rFonts w:ascii="Arial" w:eastAsia="Times New Roman" w:hAnsi="Arial" w:cs="Times New Roman"/>
          <w:sz w:val="24"/>
          <w:szCs w:val="24"/>
          <w:lang w:val="en-GB"/>
        </w:rPr>
      </w:pPr>
      <w:r w:rsidRPr="00B944C2">
        <w:rPr>
          <w:rFonts w:ascii="Arial" w:eastAsia="Times New Roman" w:hAnsi="Arial" w:cs="Times New Roman"/>
          <w:sz w:val="24"/>
          <w:szCs w:val="24"/>
          <w:lang w:val="en-GB"/>
        </w:rPr>
        <w:t>Mental Capacity Act 2005</w:t>
      </w:r>
    </w:p>
    <w:p w14:paraId="217BAD24" w14:textId="77777777" w:rsidR="00246D7B" w:rsidRDefault="00B944C2" w:rsidP="00246D7B">
      <w:pPr>
        <w:spacing w:after="200"/>
        <w:jc w:val="both"/>
        <w:rPr>
          <w:rFonts w:ascii="Arial" w:eastAsia="Times New Roman" w:hAnsi="Arial" w:cs="Times New Roman"/>
          <w:sz w:val="24"/>
          <w:szCs w:val="24"/>
          <w:lang w:val="en-GB"/>
        </w:rPr>
      </w:pPr>
      <w:r w:rsidRPr="00B944C2">
        <w:rPr>
          <w:rFonts w:ascii="Arial" w:eastAsia="Times New Roman" w:hAnsi="Arial" w:cs="Times New Roman"/>
          <w:sz w:val="24"/>
          <w:szCs w:val="24"/>
          <w:lang w:val="en-GB"/>
        </w:rPr>
        <w:t>Record Keeping</w:t>
      </w:r>
      <w:bookmarkEnd w:id="53"/>
    </w:p>
    <w:p w14:paraId="5C8C230D" w14:textId="20ADF2E8" w:rsidR="00171F5E" w:rsidRDefault="00171F5E" w:rsidP="00246D7B">
      <w:pPr>
        <w:spacing w:after="200"/>
        <w:jc w:val="both"/>
        <w:rPr>
          <w:rFonts w:ascii="Arial" w:eastAsia="HGGothicM" w:hAnsi="Arial" w:cs="Arial"/>
          <w:b/>
          <w:bCs/>
          <w:color w:val="365F91" w:themeColor="accent1" w:themeShade="BF"/>
          <w:sz w:val="24"/>
          <w:szCs w:val="24"/>
          <w:lang w:bidi="en-US"/>
        </w:rPr>
      </w:pPr>
      <w:bookmarkStart w:id="54" w:name="_GoBack"/>
      <w:bookmarkEnd w:id="54"/>
      <w:r w:rsidRPr="002E7BED">
        <w:rPr>
          <w:rFonts w:ascii="Arial" w:eastAsia="HGGothicM" w:hAnsi="Arial" w:cs="Arial"/>
          <w:b/>
          <w:bCs/>
          <w:color w:val="365F91" w:themeColor="accent1" w:themeShade="BF"/>
          <w:sz w:val="24"/>
          <w:szCs w:val="24"/>
          <w:lang w:bidi="en-US"/>
        </w:rPr>
        <w:t xml:space="preserve">Related </w:t>
      </w:r>
      <w:r>
        <w:rPr>
          <w:rFonts w:ascii="Arial" w:eastAsia="HGGothicM" w:hAnsi="Arial" w:cs="Arial"/>
          <w:b/>
          <w:bCs/>
          <w:color w:val="365F91" w:themeColor="accent1" w:themeShade="BF"/>
          <w:sz w:val="24"/>
          <w:szCs w:val="24"/>
          <w:lang w:bidi="en-US"/>
        </w:rPr>
        <w:t>Guidance</w:t>
      </w:r>
    </w:p>
    <w:p w14:paraId="0729A06A" w14:textId="77777777" w:rsidR="00171F5E" w:rsidRPr="00CD3A2B" w:rsidRDefault="00171F5E" w:rsidP="00171F5E">
      <w:pPr>
        <w:pStyle w:val="ListParagraph"/>
        <w:keepNext/>
        <w:keepLines/>
        <w:numPr>
          <w:ilvl w:val="0"/>
          <w:numId w:val="72"/>
        </w:numPr>
        <w:spacing w:before="360" w:after="0" w:line="240" w:lineRule="auto"/>
        <w:outlineLvl w:val="0"/>
        <w:rPr>
          <w:rFonts w:ascii="Arial" w:eastAsia="HGGothicM" w:hAnsi="Arial" w:cs="Arial"/>
          <w:bCs/>
          <w:color w:val="365F91" w:themeColor="accent1" w:themeShade="BF"/>
          <w:sz w:val="24"/>
          <w:szCs w:val="24"/>
          <w:lang w:bidi="en-US"/>
        </w:rPr>
      </w:pPr>
      <w:r w:rsidRPr="00597507">
        <w:rPr>
          <w:rFonts w:ascii="Arial" w:eastAsia="HGGothicM" w:hAnsi="Arial" w:cs="Arial"/>
          <w:bCs/>
          <w:sz w:val="24"/>
          <w:szCs w:val="24"/>
          <w:lang w:bidi="en-US"/>
        </w:rPr>
        <w:t xml:space="preserve">Regulation 11 Need for Consent </w:t>
      </w:r>
      <w:hyperlink r:id="rId8" w:history="1">
        <w:r w:rsidRPr="00CD3A2B">
          <w:rPr>
            <w:rStyle w:val="Hyperlink"/>
            <w:rFonts w:ascii="Arial" w:eastAsia="HGGothicM" w:hAnsi="Arial" w:cs="Arial"/>
            <w:bCs/>
            <w:sz w:val="24"/>
            <w:szCs w:val="24"/>
            <w:lang w:bidi="en-US"/>
          </w:rPr>
          <w:t>https://www.cqc.org.uk/guidance-providers/regulations-enforcement/regulation-11-need-consent</w:t>
        </w:r>
      </w:hyperlink>
      <w:r w:rsidRPr="00CD3A2B">
        <w:rPr>
          <w:rFonts w:ascii="Arial" w:eastAsia="HGGothicM" w:hAnsi="Arial" w:cs="Arial"/>
          <w:bCs/>
          <w:color w:val="FF0000"/>
          <w:sz w:val="24"/>
          <w:szCs w:val="24"/>
          <w:lang w:bidi="en-US"/>
        </w:rPr>
        <w:t xml:space="preserve"> </w:t>
      </w:r>
    </w:p>
    <w:p w14:paraId="62FBAB31" w14:textId="77777777" w:rsidR="00171F5E" w:rsidRPr="00CD3A2B" w:rsidRDefault="00171F5E" w:rsidP="00171F5E">
      <w:pPr>
        <w:pStyle w:val="ListParagraph"/>
        <w:keepNext/>
        <w:keepLines/>
        <w:numPr>
          <w:ilvl w:val="0"/>
          <w:numId w:val="72"/>
        </w:numPr>
        <w:spacing w:before="360" w:after="0" w:line="240" w:lineRule="auto"/>
        <w:outlineLvl w:val="0"/>
        <w:rPr>
          <w:rFonts w:ascii="Arial" w:eastAsia="HGGothicM" w:hAnsi="Arial" w:cs="Arial"/>
          <w:bCs/>
          <w:color w:val="365F91" w:themeColor="accent1" w:themeShade="BF"/>
          <w:sz w:val="24"/>
          <w:szCs w:val="24"/>
          <w:lang w:bidi="en-US"/>
        </w:rPr>
      </w:pPr>
      <w:r w:rsidRPr="00597507">
        <w:rPr>
          <w:rFonts w:ascii="Arial" w:eastAsia="HGGothicM" w:hAnsi="Arial" w:cs="Arial"/>
          <w:bCs/>
          <w:sz w:val="24"/>
          <w:szCs w:val="24"/>
          <w:lang w:bidi="en-US"/>
        </w:rPr>
        <w:t xml:space="preserve">Mental Capacity Act 2005  Code of Practice </w:t>
      </w:r>
      <w:hyperlink r:id="rId9" w:history="1">
        <w:r w:rsidRPr="00CD3A2B">
          <w:rPr>
            <w:rStyle w:val="Hyperlink"/>
            <w:rFonts w:ascii="Arial" w:eastAsia="HGGothicM" w:hAnsi="Arial" w:cs="Arial"/>
            <w:bCs/>
            <w:sz w:val="24"/>
            <w:szCs w:val="24"/>
            <w:lang w:bidi="en-US"/>
          </w:rPr>
          <w:t>https://assets.publishing.service.gov.uk/government/uploads/system/uploads/attachment_data/file/497253/Mental-capacity-act-code-of-practice.pdf</w:t>
        </w:r>
      </w:hyperlink>
      <w:r w:rsidRPr="00CD3A2B">
        <w:rPr>
          <w:rFonts w:ascii="Arial" w:eastAsia="HGGothicM" w:hAnsi="Arial" w:cs="Arial"/>
          <w:bCs/>
          <w:color w:val="365F91" w:themeColor="accent1" w:themeShade="BF"/>
          <w:sz w:val="24"/>
          <w:szCs w:val="24"/>
          <w:lang w:bidi="en-US"/>
        </w:rPr>
        <w:t xml:space="preserve"> </w:t>
      </w:r>
    </w:p>
    <w:p w14:paraId="1E68903A" w14:textId="77777777" w:rsidR="00D6102D" w:rsidRPr="00D6102D" w:rsidRDefault="00171F5E" w:rsidP="00171F5E">
      <w:pPr>
        <w:pStyle w:val="ListParagraph"/>
        <w:keepNext/>
        <w:keepLines/>
        <w:numPr>
          <w:ilvl w:val="0"/>
          <w:numId w:val="72"/>
        </w:numPr>
        <w:spacing w:before="360" w:after="0" w:line="240" w:lineRule="auto"/>
        <w:outlineLvl w:val="0"/>
        <w:rPr>
          <w:rStyle w:val="Hyperlink"/>
          <w:rFonts w:ascii="Arial" w:eastAsia="HGGothicM" w:hAnsi="Arial" w:cs="Arial"/>
          <w:bCs/>
          <w:color w:val="365F91" w:themeColor="accent1" w:themeShade="BF"/>
          <w:sz w:val="24"/>
          <w:szCs w:val="24"/>
          <w:u w:val="none"/>
          <w:lang w:bidi="en-US"/>
        </w:rPr>
      </w:pPr>
      <w:r w:rsidRPr="00597507">
        <w:rPr>
          <w:rFonts w:ascii="Arial" w:eastAsia="HGGothicM" w:hAnsi="Arial" w:cs="Arial"/>
          <w:bCs/>
          <w:sz w:val="24"/>
          <w:szCs w:val="24"/>
          <w:lang w:bidi="en-US"/>
        </w:rPr>
        <w:t xml:space="preserve">SCIE Mental Capacity at a glance </w:t>
      </w:r>
      <w:hyperlink r:id="rId10" w:history="1">
        <w:r w:rsidRPr="00CD3A2B">
          <w:rPr>
            <w:rStyle w:val="Hyperlink"/>
            <w:rFonts w:ascii="Arial" w:eastAsia="HGGothicM" w:hAnsi="Arial" w:cs="Arial"/>
            <w:bCs/>
            <w:sz w:val="24"/>
            <w:szCs w:val="24"/>
            <w:lang w:bidi="en-US"/>
          </w:rPr>
          <w:t>https://www.scie.org.uk/mca/introduction/mental-capacity-act-2005-at-a-glance</w:t>
        </w:r>
      </w:hyperlink>
    </w:p>
    <w:p w14:paraId="40FEF910" w14:textId="62902F26" w:rsidR="00D6102D" w:rsidRPr="00406BE3" w:rsidRDefault="00D6102D" w:rsidP="00482FF9">
      <w:pPr>
        <w:keepNext/>
        <w:keepLines/>
        <w:numPr>
          <w:ilvl w:val="0"/>
          <w:numId w:val="72"/>
        </w:numPr>
        <w:spacing w:before="360" w:after="0" w:line="240" w:lineRule="auto"/>
        <w:contextualSpacing/>
        <w:outlineLvl w:val="0"/>
        <w:rPr>
          <w:rStyle w:val="Hyperlink"/>
          <w:rFonts w:ascii="Arial" w:eastAsia="HGGothicM" w:hAnsi="Arial" w:cs="Arial"/>
          <w:bCs/>
          <w:color w:val="FF0000"/>
          <w:sz w:val="24"/>
          <w:szCs w:val="24"/>
          <w:u w:val="none"/>
          <w:lang w:bidi="en-US"/>
        </w:rPr>
      </w:pPr>
      <w:r w:rsidRPr="00952D7C">
        <w:rPr>
          <w:rFonts w:ascii="Arial" w:eastAsia="HGGothicM" w:hAnsi="Arial" w:cs="Arial"/>
          <w:bCs/>
          <w:sz w:val="24"/>
          <w:szCs w:val="24"/>
          <w:lang w:bidi="en-US"/>
        </w:rPr>
        <w:t>NICE guideline 108 Decision-making and mental capacity</w:t>
      </w:r>
      <w:r w:rsidR="00952D7C" w:rsidRPr="00952D7C">
        <w:rPr>
          <w:rFonts w:ascii="Arial" w:eastAsia="HGGothicM" w:hAnsi="Arial" w:cs="Arial"/>
          <w:bCs/>
          <w:sz w:val="24"/>
          <w:szCs w:val="24"/>
          <w:lang w:bidi="en-US"/>
        </w:rPr>
        <w:t xml:space="preserve"> </w:t>
      </w:r>
      <w:r w:rsidR="00952D7C" w:rsidRPr="00F9750E">
        <w:rPr>
          <w:rFonts w:ascii="Arial" w:eastAsia="Calibri" w:hAnsi="Arial" w:cs="Arial"/>
          <w:sz w:val="24"/>
          <w:szCs w:val="24"/>
          <w:lang w:val="en-GB"/>
        </w:rPr>
        <w:t xml:space="preserve">November 2018 </w:t>
      </w:r>
      <w:hyperlink r:id="rId11" w:history="1">
        <w:r w:rsidR="00952D7C" w:rsidRPr="00952D7C">
          <w:rPr>
            <w:rStyle w:val="Hyperlink"/>
            <w:rFonts w:ascii="Arial" w:hAnsi="Arial" w:cs="Arial"/>
            <w:sz w:val="24"/>
            <w:szCs w:val="24"/>
          </w:rPr>
          <w:t>https://www.nice.org.uk/guidance/ng108</w:t>
        </w:r>
      </w:hyperlink>
    </w:p>
    <w:p w14:paraId="1B1812D6" w14:textId="77777777" w:rsidR="00406BE3" w:rsidRPr="00246D7B" w:rsidRDefault="00406BE3" w:rsidP="00406BE3">
      <w:pPr>
        <w:keepNext/>
        <w:keepLines/>
        <w:numPr>
          <w:ilvl w:val="0"/>
          <w:numId w:val="72"/>
        </w:numPr>
        <w:spacing w:before="360" w:after="0" w:line="240" w:lineRule="auto"/>
        <w:contextualSpacing/>
        <w:outlineLvl w:val="0"/>
        <w:rPr>
          <w:rFonts w:ascii="Arial" w:eastAsia="HGGothicM" w:hAnsi="Arial" w:cs="Arial"/>
          <w:bCs/>
          <w:sz w:val="24"/>
          <w:szCs w:val="24"/>
          <w:lang w:val="en-GB" w:bidi="en-US"/>
        </w:rPr>
      </w:pPr>
      <w:r w:rsidRPr="00246D7B">
        <w:rPr>
          <w:rFonts w:ascii="Arial" w:eastAsia="HGGothicM" w:hAnsi="Arial" w:cs="Arial"/>
          <w:bCs/>
          <w:sz w:val="24"/>
          <w:szCs w:val="24"/>
          <w:lang w:val="en-GB" w:bidi="en-US"/>
        </w:rPr>
        <w:t xml:space="preserve">Coronavirus Act 2020 </w:t>
      </w:r>
      <w:hyperlink r:id="rId12" w:history="1">
        <w:r w:rsidRPr="00246D7B">
          <w:rPr>
            <w:rStyle w:val="Hyperlink"/>
            <w:rFonts w:ascii="Arial" w:hAnsi="Arial" w:cs="Arial"/>
            <w:color w:val="auto"/>
            <w:sz w:val="24"/>
            <w:szCs w:val="24"/>
          </w:rPr>
          <w:t>http://www.legislation.gov.uk/ukpga/2020/7/pdfs/ukpga_20200007_en.pdf</w:t>
        </w:r>
      </w:hyperlink>
    </w:p>
    <w:p w14:paraId="05975F68" w14:textId="77777777" w:rsidR="00406BE3" w:rsidRPr="00246D7B" w:rsidRDefault="00406BE3" w:rsidP="00406BE3">
      <w:pPr>
        <w:keepNext/>
        <w:keepLines/>
        <w:widowControl w:val="0"/>
        <w:suppressAutoHyphens/>
        <w:autoSpaceDN w:val="0"/>
        <w:textAlignment w:val="baseline"/>
        <w:outlineLvl w:val="0"/>
        <w:rPr>
          <w:rFonts w:ascii="Arial" w:eastAsia="HGGothicM" w:hAnsi="Arial" w:cs="Arial"/>
          <w:b/>
          <w:bCs/>
          <w:sz w:val="24"/>
          <w:szCs w:val="24"/>
          <w:lang w:bidi="en-US"/>
        </w:rPr>
      </w:pPr>
    </w:p>
    <w:p w14:paraId="506DB07A" w14:textId="77777777" w:rsidR="00406BE3" w:rsidRPr="00952D7C" w:rsidRDefault="00406BE3" w:rsidP="00406BE3">
      <w:pPr>
        <w:keepNext/>
        <w:keepLines/>
        <w:spacing w:before="360" w:after="0" w:line="240" w:lineRule="auto"/>
        <w:ind w:left="720"/>
        <w:contextualSpacing/>
        <w:outlineLvl w:val="0"/>
        <w:rPr>
          <w:rFonts w:ascii="Arial" w:eastAsia="HGGothicM" w:hAnsi="Arial" w:cs="Arial"/>
          <w:bCs/>
          <w:color w:val="FF0000"/>
          <w:sz w:val="24"/>
          <w:szCs w:val="24"/>
          <w:lang w:bidi="en-US"/>
        </w:rPr>
      </w:pPr>
    </w:p>
    <w:p w14:paraId="0E39EB7B" w14:textId="77777777" w:rsidR="00171F5E" w:rsidRDefault="00171F5E" w:rsidP="00171F5E">
      <w:pPr>
        <w:pStyle w:val="Heading1"/>
        <w:jc w:val="both"/>
        <w:rPr>
          <w:color w:val="365F91" w:themeColor="accent1" w:themeShade="BF"/>
        </w:rPr>
      </w:pPr>
      <w:r w:rsidRPr="00513C46">
        <w:rPr>
          <w:color w:val="365F91" w:themeColor="accent1" w:themeShade="BF"/>
        </w:rPr>
        <w:t>Training Statement</w:t>
      </w:r>
    </w:p>
    <w:p w14:paraId="21F1BA4C" w14:textId="5A1AEDC7" w:rsidR="00C65EEA" w:rsidRPr="00213EAC" w:rsidRDefault="00171F5E" w:rsidP="00246D7B">
      <w:pPr>
        <w:keepNext/>
        <w:keepLines/>
        <w:spacing w:before="360" w:after="0" w:line="240" w:lineRule="auto"/>
        <w:jc w:val="both"/>
        <w:outlineLvl w:val="0"/>
        <w:rPr>
          <w:rFonts w:ascii="Arial" w:eastAsia="Calibri" w:hAnsi="Arial" w:cs="Arial"/>
          <w:sz w:val="24"/>
          <w:szCs w:val="24"/>
          <w:lang w:val="en-GB"/>
        </w:rPr>
      </w:pPr>
      <w:bookmarkStart w:id="55" w:name="_Hlk529282654"/>
      <w:r w:rsidRPr="00597507">
        <w:rPr>
          <w:rFonts w:ascii="Arial" w:eastAsia="HGGothicM" w:hAnsi="Arial" w:cs="Arial"/>
          <w:bCs/>
          <w:sz w:val="24"/>
          <w:szCs w:val="24"/>
          <w:lang w:eastAsia="en-GB"/>
        </w:rPr>
        <w:t>All staff, during induction are made aware of the organisations policies and procedures, all of which are used for training updates. All policies and procedures are reviewed and amended where necessary and staff are made aware of any changes. Observations are undertaken to check skills and competencies. Various methods of training are used including one to one, on-line, workbook, group meetings, individual supervisions and external courses are sourced as required.</w:t>
      </w:r>
      <w:r w:rsidRPr="00597507">
        <w:rPr>
          <w:rFonts w:ascii="Arial" w:eastAsia="HGGothicM" w:hAnsi="Arial" w:cs="Arial"/>
          <w:b/>
          <w:bCs/>
          <w:sz w:val="24"/>
          <w:szCs w:val="24"/>
          <w:lang w:eastAsia="en-GB"/>
        </w:rPr>
        <w:t xml:space="preserve"> </w:t>
      </w:r>
      <w:bookmarkStart w:id="56" w:name="ConsentInput2"/>
      <w:bookmarkStart w:id="57" w:name="_Hlk527038464"/>
      <w:bookmarkEnd w:id="56"/>
      <w:bookmarkEnd w:id="55"/>
    </w:p>
    <w:bookmarkEnd w:id="57"/>
    <w:p w14:paraId="5CC23AE6" w14:textId="68765EF8" w:rsidR="00B7150E" w:rsidRPr="00213EAC" w:rsidRDefault="00B7150E">
      <w:pPr>
        <w:spacing w:after="160" w:line="259" w:lineRule="auto"/>
        <w:ind w:left="360"/>
        <w:jc w:val="both"/>
        <w:rPr>
          <w:rFonts w:ascii="Arial" w:eastAsia="Calibri" w:hAnsi="Arial" w:cs="Arial"/>
          <w:sz w:val="24"/>
          <w:szCs w:val="24"/>
          <w:lang w:val="en-GB"/>
        </w:rPr>
      </w:pPr>
    </w:p>
    <w:sectPr w:rsidR="00B7150E" w:rsidRPr="00213EA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201D1" w14:textId="77777777" w:rsidR="003D5B23" w:rsidRDefault="003D5B23" w:rsidP="00815DED">
      <w:pPr>
        <w:spacing w:after="0" w:line="240" w:lineRule="auto"/>
      </w:pPr>
      <w:r>
        <w:separator/>
      </w:r>
    </w:p>
  </w:endnote>
  <w:endnote w:type="continuationSeparator" w:id="0">
    <w:p w14:paraId="2D196F70" w14:textId="77777777" w:rsidR="003D5B23" w:rsidRDefault="003D5B23" w:rsidP="00815D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GGothicM">
    <w:altName w:val="HGｺﾞｼｯｸM"/>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872A8" w14:textId="77777777" w:rsidR="003D5B23" w:rsidRDefault="003D5B23" w:rsidP="00815DED">
      <w:pPr>
        <w:spacing w:after="0" w:line="240" w:lineRule="auto"/>
      </w:pPr>
      <w:r>
        <w:separator/>
      </w:r>
    </w:p>
  </w:footnote>
  <w:footnote w:type="continuationSeparator" w:id="0">
    <w:p w14:paraId="21CE6F37" w14:textId="77777777" w:rsidR="003D5B23" w:rsidRDefault="003D5B23" w:rsidP="00815D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4CF6"/>
    <w:multiLevelType w:val="hybridMultilevel"/>
    <w:tmpl w:val="0DF83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8402C72"/>
    <w:multiLevelType w:val="hybridMultilevel"/>
    <w:tmpl w:val="6C568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5706E"/>
    <w:multiLevelType w:val="multilevel"/>
    <w:tmpl w:val="F472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52501E"/>
    <w:multiLevelType w:val="hybridMultilevel"/>
    <w:tmpl w:val="8C76F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47D3D"/>
    <w:multiLevelType w:val="hybridMultilevel"/>
    <w:tmpl w:val="CF22CB2A"/>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cs="Courier New" w:hint="default"/>
      </w:rPr>
    </w:lvl>
    <w:lvl w:ilvl="2" w:tplc="08090005">
      <w:start w:val="1"/>
      <w:numFmt w:val="bullet"/>
      <w:lvlText w:val=""/>
      <w:lvlJc w:val="left"/>
      <w:pPr>
        <w:ind w:left="2214" w:hanging="360"/>
      </w:pPr>
      <w:rPr>
        <w:rFonts w:ascii="Wingdings" w:hAnsi="Wingdings" w:hint="default"/>
      </w:rPr>
    </w:lvl>
    <w:lvl w:ilvl="3" w:tplc="08090001">
      <w:start w:val="1"/>
      <w:numFmt w:val="bullet"/>
      <w:lvlText w:val=""/>
      <w:lvlJc w:val="left"/>
      <w:pPr>
        <w:ind w:left="2934" w:hanging="360"/>
      </w:pPr>
      <w:rPr>
        <w:rFonts w:ascii="Symbol" w:hAnsi="Symbol" w:hint="default"/>
      </w:rPr>
    </w:lvl>
    <w:lvl w:ilvl="4" w:tplc="08090003">
      <w:start w:val="1"/>
      <w:numFmt w:val="bullet"/>
      <w:lvlText w:val="o"/>
      <w:lvlJc w:val="left"/>
      <w:pPr>
        <w:ind w:left="3654" w:hanging="360"/>
      </w:pPr>
      <w:rPr>
        <w:rFonts w:ascii="Courier New" w:hAnsi="Courier New" w:cs="Courier New" w:hint="default"/>
      </w:rPr>
    </w:lvl>
    <w:lvl w:ilvl="5" w:tplc="08090005">
      <w:start w:val="1"/>
      <w:numFmt w:val="bullet"/>
      <w:lvlText w:val=""/>
      <w:lvlJc w:val="left"/>
      <w:pPr>
        <w:ind w:left="4374" w:hanging="360"/>
      </w:pPr>
      <w:rPr>
        <w:rFonts w:ascii="Wingdings" w:hAnsi="Wingdings" w:hint="default"/>
      </w:rPr>
    </w:lvl>
    <w:lvl w:ilvl="6" w:tplc="08090001">
      <w:start w:val="1"/>
      <w:numFmt w:val="bullet"/>
      <w:lvlText w:val=""/>
      <w:lvlJc w:val="left"/>
      <w:pPr>
        <w:ind w:left="5094" w:hanging="360"/>
      </w:pPr>
      <w:rPr>
        <w:rFonts w:ascii="Symbol" w:hAnsi="Symbol" w:hint="default"/>
      </w:rPr>
    </w:lvl>
    <w:lvl w:ilvl="7" w:tplc="08090003">
      <w:start w:val="1"/>
      <w:numFmt w:val="bullet"/>
      <w:lvlText w:val="o"/>
      <w:lvlJc w:val="left"/>
      <w:pPr>
        <w:ind w:left="5814" w:hanging="360"/>
      </w:pPr>
      <w:rPr>
        <w:rFonts w:ascii="Courier New" w:hAnsi="Courier New" w:cs="Courier New" w:hint="default"/>
      </w:rPr>
    </w:lvl>
    <w:lvl w:ilvl="8" w:tplc="08090005">
      <w:start w:val="1"/>
      <w:numFmt w:val="bullet"/>
      <w:lvlText w:val=""/>
      <w:lvlJc w:val="left"/>
      <w:pPr>
        <w:ind w:left="6534" w:hanging="360"/>
      </w:pPr>
      <w:rPr>
        <w:rFonts w:ascii="Wingdings" w:hAnsi="Wingdings" w:hint="default"/>
      </w:rPr>
    </w:lvl>
  </w:abstractNum>
  <w:abstractNum w:abstractNumId="5" w15:restartNumberingAfterBreak="0">
    <w:nsid w:val="09E2627A"/>
    <w:multiLevelType w:val="hybridMultilevel"/>
    <w:tmpl w:val="3D926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EE02AB"/>
    <w:multiLevelType w:val="multilevel"/>
    <w:tmpl w:val="19CAD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92218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F46EBB"/>
    <w:multiLevelType w:val="hybridMultilevel"/>
    <w:tmpl w:val="721860E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9" w15:restartNumberingAfterBreak="0">
    <w:nsid w:val="0F65497B"/>
    <w:multiLevelType w:val="multilevel"/>
    <w:tmpl w:val="6CD48B5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F782ADF"/>
    <w:multiLevelType w:val="hybridMultilevel"/>
    <w:tmpl w:val="C76E5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3E5A5E"/>
    <w:multiLevelType w:val="hybridMultilevel"/>
    <w:tmpl w:val="298A0B0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07F1ADC"/>
    <w:multiLevelType w:val="hybridMultilevel"/>
    <w:tmpl w:val="5C3CD3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6B58DF"/>
    <w:multiLevelType w:val="hybridMultilevel"/>
    <w:tmpl w:val="7B6C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3B421D5"/>
    <w:multiLevelType w:val="hybridMultilevel"/>
    <w:tmpl w:val="674643E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3F6F0B"/>
    <w:multiLevelType w:val="hybridMultilevel"/>
    <w:tmpl w:val="B694C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2B3378"/>
    <w:multiLevelType w:val="hybridMultilevel"/>
    <w:tmpl w:val="5DF878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C92137"/>
    <w:multiLevelType w:val="hybridMultilevel"/>
    <w:tmpl w:val="5F441AD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9A6EB3"/>
    <w:multiLevelType w:val="hybridMultilevel"/>
    <w:tmpl w:val="8DA81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1C3371"/>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D85DA3"/>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0E06546"/>
    <w:multiLevelType w:val="multilevel"/>
    <w:tmpl w:val="ECE26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3094428"/>
    <w:multiLevelType w:val="hybridMultilevel"/>
    <w:tmpl w:val="FEA6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397BA8"/>
    <w:multiLevelType w:val="hybridMultilevel"/>
    <w:tmpl w:val="459AA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3413CA3"/>
    <w:multiLevelType w:val="multilevel"/>
    <w:tmpl w:val="E86CF86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3A77F40"/>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C0A2F77"/>
    <w:multiLevelType w:val="multilevel"/>
    <w:tmpl w:val="3F08936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EAA7BBE"/>
    <w:multiLevelType w:val="hybridMultilevel"/>
    <w:tmpl w:val="C30635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2EC7466D"/>
    <w:multiLevelType w:val="multilevel"/>
    <w:tmpl w:val="ECD40DC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00E523D"/>
    <w:multiLevelType w:val="multilevel"/>
    <w:tmpl w:val="9516FE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03C2EB8"/>
    <w:multiLevelType w:val="hybridMultilevel"/>
    <w:tmpl w:val="A412C792"/>
    <w:lvl w:ilvl="0" w:tplc="A4B6642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328675B3"/>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4EE4830"/>
    <w:multiLevelType w:val="multilevel"/>
    <w:tmpl w:val="47004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5292627"/>
    <w:multiLevelType w:val="hybridMultilevel"/>
    <w:tmpl w:val="E7EC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7452351"/>
    <w:multiLevelType w:val="hybridMultilevel"/>
    <w:tmpl w:val="16B6C2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C1E038C"/>
    <w:multiLevelType w:val="hybridMultilevel"/>
    <w:tmpl w:val="6144E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D081564"/>
    <w:multiLevelType w:val="hybridMultilevel"/>
    <w:tmpl w:val="C19AC24E"/>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37" w15:restartNumberingAfterBreak="0">
    <w:nsid w:val="40E01F2F"/>
    <w:multiLevelType w:val="hybridMultilevel"/>
    <w:tmpl w:val="609232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2114B46"/>
    <w:multiLevelType w:val="multilevel"/>
    <w:tmpl w:val="E1C2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36705C7"/>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45416CD"/>
    <w:multiLevelType w:val="hybridMultilevel"/>
    <w:tmpl w:val="DFF8AF04"/>
    <w:lvl w:ilvl="0" w:tplc="B7C6D2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58134FB"/>
    <w:multiLevelType w:val="multilevel"/>
    <w:tmpl w:val="5D702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A3942B2"/>
    <w:multiLevelType w:val="hybridMultilevel"/>
    <w:tmpl w:val="E06E6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4B4B5069"/>
    <w:multiLevelType w:val="hybridMultilevel"/>
    <w:tmpl w:val="1BDC474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DE63B34"/>
    <w:multiLevelType w:val="hybridMultilevel"/>
    <w:tmpl w:val="099AA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52AD7C6F"/>
    <w:multiLevelType w:val="hybridMultilevel"/>
    <w:tmpl w:val="006A4270"/>
    <w:lvl w:ilvl="0" w:tplc="2F24CDB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2BB081A"/>
    <w:multiLevelType w:val="hybridMultilevel"/>
    <w:tmpl w:val="DFB4B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7" w15:restartNumberingAfterBreak="0">
    <w:nsid w:val="52EC6EF6"/>
    <w:multiLevelType w:val="hybridMultilevel"/>
    <w:tmpl w:val="C876E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70E0592"/>
    <w:multiLevelType w:val="hybridMultilevel"/>
    <w:tmpl w:val="B42C8AF2"/>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49" w15:restartNumberingAfterBreak="0">
    <w:nsid w:val="573B4158"/>
    <w:multiLevelType w:val="hybridMultilevel"/>
    <w:tmpl w:val="0CDCAB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8EC1CFF"/>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9E50269"/>
    <w:multiLevelType w:val="multilevel"/>
    <w:tmpl w:val="50203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A4A1F54"/>
    <w:multiLevelType w:val="multilevel"/>
    <w:tmpl w:val="0272381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A610DC5"/>
    <w:multiLevelType w:val="hybridMultilevel"/>
    <w:tmpl w:val="5F325A1E"/>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BBF079C"/>
    <w:multiLevelType w:val="multilevel"/>
    <w:tmpl w:val="2970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E373BA9"/>
    <w:multiLevelType w:val="multilevel"/>
    <w:tmpl w:val="1B4A3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F6F0076"/>
    <w:multiLevelType w:val="hybridMultilevel"/>
    <w:tmpl w:val="BC0244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FFC1926"/>
    <w:multiLevelType w:val="hybridMultilevel"/>
    <w:tmpl w:val="E9342D6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0444F0D"/>
    <w:multiLevelType w:val="hybridMultilevel"/>
    <w:tmpl w:val="C892F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53D1B0F"/>
    <w:multiLevelType w:val="hybridMultilevel"/>
    <w:tmpl w:val="F55A07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0" w15:restartNumberingAfterBreak="0">
    <w:nsid w:val="671A2E67"/>
    <w:multiLevelType w:val="hybridMultilevel"/>
    <w:tmpl w:val="A9BCFEC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1" w15:restartNumberingAfterBreak="0">
    <w:nsid w:val="67516954"/>
    <w:multiLevelType w:val="hybridMultilevel"/>
    <w:tmpl w:val="0958E7F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BB6656A"/>
    <w:multiLevelType w:val="hybridMultilevel"/>
    <w:tmpl w:val="9CEA616A"/>
    <w:lvl w:ilvl="0" w:tplc="04090001">
      <w:start w:val="1"/>
      <w:numFmt w:val="bullet"/>
      <w:lvlText w:val=""/>
      <w:lvlJc w:val="left"/>
      <w:pPr>
        <w:tabs>
          <w:tab w:val="num" w:pos="1950"/>
        </w:tabs>
        <w:ind w:left="1950" w:hanging="360"/>
      </w:pPr>
      <w:rPr>
        <w:rFonts w:ascii="Symbol" w:hAnsi="Symbol" w:hint="default"/>
      </w:rPr>
    </w:lvl>
    <w:lvl w:ilvl="1" w:tplc="04090003" w:tentative="1">
      <w:start w:val="1"/>
      <w:numFmt w:val="bullet"/>
      <w:lvlText w:val="o"/>
      <w:lvlJc w:val="left"/>
      <w:pPr>
        <w:tabs>
          <w:tab w:val="num" w:pos="2670"/>
        </w:tabs>
        <w:ind w:left="2670" w:hanging="360"/>
      </w:pPr>
      <w:rPr>
        <w:rFonts w:ascii="Courier New" w:hAnsi="Courier New" w:cs="Courier New" w:hint="default"/>
      </w:rPr>
    </w:lvl>
    <w:lvl w:ilvl="2" w:tplc="04090005" w:tentative="1">
      <w:start w:val="1"/>
      <w:numFmt w:val="bullet"/>
      <w:lvlText w:val=""/>
      <w:lvlJc w:val="left"/>
      <w:pPr>
        <w:tabs>
          <w:tab w:val="num" w:pos="3390"/>
        </w:tabs>
        <w:ind w:left="3390" w:hanging="360"/>
      </w:pPr>
      <w:rPr>
        <w:rFonts w:ascii="Wingdings" w:hAnsi="Wingdings" w:hint="default"/>
      </w:rPr>
    </w:lvl>
    <w:lvl w:ilvl="3" w:tplc="04090001" w:tentative="1">
      <w:start w:val="1"/>
      <w:numFmt w:val="bullet"/>
      <w:lvlText w:val=""/>
      <w:lvlJc w:val="left"/>
      <w:pPr>
        <w:tabs>
          <w:tab w:val="num" w:pos="4110"/>
        </w:tabs>
        <w:ind w:left="4110" w:hanging="360"/>
      </w:pPr>
      <w:rPr>
        <w:rFonts w:ascii="Symbol" w:hAnsi="Symbol" w:hint="default"/>
      </w:rPr>
    </w:lvl>
    <w:lvl w:ilvl="4" w:tplc="04090003" w:tentative="1">
      <w:start w:val="1"/>
      <w:numFmt w:val="bullet"/>
      <w:lvlText w:val="o"/>
      <w:lvlJc w:val="left"/>
      <w:pPr>
        <w:tabs>
          <w:tab w:val="num" w:pos="4830"/>
        </w:tabs>
        <w:ind w:left="4830" w:hanging="360"/>
      </w:pPr>
      <w:rPr>
        <w:rFonts w:ascii="Courier New" w:hAnsi="Courier New" w:cs="Courier New" w:hint="default"/>
      </w:rPr>
    </w:lvl>
    <w:lvl w:ilvl="5" w:tplc="04090005" w:tentative="1">
      <w:start w:val="1"/>
      <w:numFmt w:val="bullet"/>
      <w:lvlText w:val=""/>
      <w:lvlJc w:val="left"/>
      <w:pPr>
        <w:tabs>
          <w:tab w:val="num" w:pos="5550"/>
        </w:tabs>
        <w:ind w:left="5550" w:hanging="360"/>
      </w:pPr>
      <w:rPr>
        <w:rFonts w:ascii="Wingdings" w:hAnsi="Wingdings" w:hint="default"/>
      </w:rPr>
    </w:lvl>
    <w:lvl w:ilvl="6" w:tplc="04090001" w:tentative="1">
      <w:start w:val="1"/>
      <w:numFmt w:val="bullet"/>
      <w:lvlText w:val=""/>
      <w:lvlJc w:val="left"/>
      <w:pPr>
        <w:tabs>
          <w:tab w:val="num" w:pos="6270"/>
        </w:tabs>
        <w:ind w:left="6270" w:hanging="360"/>
      </w:pPr>
      <w:rPr>
        <w:rFonts w:ascii="Symbol" w:hAnsi="Symbol" w:hint="default"/>
      </w:rPr>
    </w:lvl>
    <w:lvl w:ilvl="7" w:tplc="04090003" w:tentative="1">
      <w:start w:val="1"/>
      <w:numFmt w:val="bullet"/>
      <w:lvlText w:val="o"/>
      <w:lvlJc w:val="left"/>
      <w:pPr>
        <w:tabs>
          <w:tab w:val="num" w:pos="6990"/>
        </w:tabs>
        <w:ind w:left="6990" w:hanging="360"/>
      </w:pPr>
      <w:rPr>
        <w:rFonts w:ascii="Courier New" w:hAnsi="Courier New" w:cs="Courier New" w:hint="default"/>
      </w:rPr>
    </w:lvl>
    <w:lvl w:ilvl="8" w:tplc="04090005" w:tentative="1">
      <w:start w:val="1"/>
      <w:numFmt w:val="bullet"/>
      <w:lvlText w:val=""/>
      <w:lvlJc w:val="left"/>
      <w:pPr>
        <w:tabs>
          <w:tab w:val="num" w:pos="7710"/>
        </w:tabs>
        <w:ind w:left="7710" w:hanging="360"/>
      </w:pPr>
      <w:rPr>
        <w:rFonts w:ascii="Wingdings" w:hAnsi="Wingdings" w:hint="default"/>
      </w:rPr>
    </w:lvl>
  </w:abstractNum>
  <w:abstractNum w:abstractNumId="63" w15:restartNumberingAfterBreak="0">
    <w:nsid w:val="6C250D1C"/>
    <w:multiLevelType w:val="hybridMultilevel"/>
    <w:tmpl w:val="32741A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4" w15:restartNumberingAfterBreak="0">
    <w:nsid w:val="70583074"/>
    <w:multiLevelType w:val="hybridMultilevel"/>
    <w:tmpl w:val="90FCC062"/>
    <w:lvl w:ilvl="0" w:tplc="E272B1AA">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73C05FDA"/>
    <w:multiLevelType w:val="hybridMultilevel"/>
    <w:tmpl w:val="13D8C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3DC092E"/>
    <w:multiLevelType w:val="hybridMultilevel"/>
    <w:tmpl w:val="A5B0D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4553DE0"/>
    <w:multiLevelType w:val="hybridMultilevel"/>
    <w:tmpl w:val="3E70A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71F2951"/>
    <w:multiLevelType w:val="hybridMultilevel"/>
    <w:tmpl w:val="2856BD0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7E029D5"/>
    <w:multiLevelType w:val="hybridMultilevel"/>
    <w:tmpl w:val="5E068D36"/>
    <w:lvl w:ilvl="0" w:tplc="E272B1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9C67D11"/>
    <w:multiLevelType w:val="hybridMultilevel"/>
    <w:tmpl w:val="6E3A43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A393B6C"/>
    <w:multiLevelType w:val="hybridMultilevel"/>
    <w:tmpl w:val="B4E8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C1515A5"/>
    <w:multiLevelType w:val="hybridMultilevel"/>
    <w:tmpl w:val="019E8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DF91F0C"/>
    <w:multiLevelType w:val="multilevel"/>
    <w:tmpl w:val="772C3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69"/>
  </w:num>
  <w:num w:numId="3">
    <w:abstractNumId w:val="64"/>
  </w:num>
  <w:num w:numId="4">
    <w:abstractNumId w:val="53"/>
  </w:num>
  <w:num w:numId="5">
    <w:abstractNumId w:val="58"/>
  </w:num>
  <w:num w:numId="6">
    <w:abstractNumId w:val="44"/>
  </w:num>
  <w:num w:numId="7">
    <w:abstractNumId w:val="63"/>
  </w:num>
  <w:num w:numId="8">
    <w:abstractNumId w:val="59"/>
  </w:num>
  <w:num w:numId="9">
    <w:abstractNumId w:val="0"/>
  </w:num>
  <w:num w:numId="10">
    <w:abstractNumId w:val="11"/>
  </w:num>
  <w:num w:numId="11">
    <w:abstractNumId w:val="60"/>
  </w:num>
  <w:num w:numId="12">
    <w:abstractNumId w:val="72"/>
  </w:num>
  <w:num w:numId="13">
    <w:abstractNumId w:val="37"/>
  </w:num>
  <w:num w:numId="14">
    <w:abstractNumId w:val="68"/>
  </w:num>
  <w:num w:numId="15">
    <w:abstractNumId w:val="55"/>
  </w:num>
  <w:num w:numId="16">
    <w:abstractNumId w:val="47"/>
  </w:num>
  <w:num w:numId="17">
    <w:abstractNumId w:val="31"/>
  </w:num>
  <w:num w:numId="18">
    <w:abstractNumId w:val="54"/>
  </w:num>
  <w:num w:numId="19">
    <w:abstractNumId w:val="32"/>
  </w:num>
  <w:num w:numId="20">
    <w:abstractNumId w:val="6"/>
  </w:num>
  <w:num w:numId="21">
    <w:abstractNumId w:val="2"/>
  </w:num>
  <w:num w:numId="22">
    <w:abstractNumId w:val="73"/>
  </w:num>
  <w:num w:numId="23">
    <w:abstractNumId w:val="21"/>
  </w:num>
  <w:num w:numId="24">
    <w:abstractNumId w:val="41"/>
  </w:num>
  <w:num w:numId="25">
    <w:abstractNumId w:val="38"/>
  </w:num>
  <w:num w:numId="26">
    <w:abstractNumId w:val="15"/>
  </w:num>
  <w:num w:numId="27">
    <w:abstractNumId w:val="50"/>
  </w:num>
  <w:num w:numId="28">
    <w:abstractNumId w:val="39"/>
  </w:num>
  <w:num w:numId="29">
    <w:abstractNumId w:val="51"/>
  </w:num>
  <w:num w:numId="30">
    <w:abstractNumId w:val="19"/>
  </w:num>
  <w:num w:numId="31">
    <w:abstractNumId w:val="8"/>
  </w:num>
  <w:num w:numId="32">
    <w:abstractNumId w:val="4"/>
  </w:num>
  <w:num w:numId="33">
    <w:abstractNumId w:val="46"/>
  </w:num>
  <w:num w:numId="34">
    <w:abstractNumId w:val="42"/>
  </w:num>
  <w:num w:numId="35">
    <w:abstractNumId w:val="49"/>
  </w:num>
  <w:num w:numId="36">
    <w:abstractNumId w:val="17"/>
  </w:num>
  <w:num w:numId="37">
    <w:abstractNumId w:val="61"/>
  </w:num>
  <w:num w:numId="38">
    <w:abstractNumId w:val="34"/>
  </w:num>
  <w:num w:numId="39">
    <w:abstractNumId w:val="12"/>
  </w:num>
  <w:num w:numId="40">
    <w:abstractNumId w:val="71"/>
  </w:num>
  <w:num w:numId="41">
    <w:abstractNumId w:val="33"/>
  </w:num>
  <w:num w:numId="42">
    <w:abstractNumId w:val="18"/>
  </w:num>
  <w:num w:numId="43">
    <w:abstractNumId w:val="67"/>
  </w:num>
  <w:num w:numId="44">
    <w:abstractNumId w:val="1"/>
  </w:num>
  <w:num w:numId="45">
    <w:abstractNumId w:val="10"/>
  </w:num>
  <w:num w:numId="46">
    <w:abstractNumId w:val="22"/>
  </w:num>
  <w:num w:numId="47">
    <w:abstractNumId w:val="66"/>
  </w:num>
  <w:num w:numId="48">
    <w:abstractNumId w:val="9"/>
  </w:num>
  <w:num w:numId="49">
    <w:abstractNumId w:val="52"/>
  </w:num>
  <w:num w:numId="50">
    <w:abstractNumId w:val="24"/>
  </w:num>
  <w:num w:numId="51">
    <w:abstractNumId w:val="25"/>
  </w:num>
  <w:num w:numId="52">
    <w:abstractNumId w:val="26"/>
  </w:num>
  <w:num w:numId="53">
    <w:abstractNumId w:val="20"/>
  </w:num>
  <w:num w:numId="54">
    <w:abstractNumId w:val="7"/>
  </w:num>
  <w:num w:numId="55">
    <w:abstractNumId w:val="3"/>
  </w:num>
  <w:num w:numId="56">
    <w:abstractNumId w:val="14"/>
  </w:num>
  <w:num w:numId="57">
    <w:abstractNumId w:val="5"/>
  </w:num>
  <w:num w:numId="58">
    <w:abstractNumId w:val="28"/>
  </w:num>
  <w:num w:numId="59">
    <w:abstractNumId w:val="29"/>
  </w:num>
  <w:num w:numId="60">
    <w:abstractNumId w:val="13"/>
  </w:num>
  <w:num w:numId="61">
    <w:abstractNumId w:val="27"/>
  </w:num>
  <w:num w:numId="62">
    <w:abstractNumId w:val="23"/>
  </w:num>
  <w:num w:numId="63">
    <w:abstractNumId w:val="70"/>
  </w:num>
  <w:num w:numId="64">
    <w:abstractNumId w:val="56"/>
  </w:num>
  <w:num w:numId="65">
    <w:abstractNumId w:val="65"/>
  </w:num>
  <w:num w:numId="66">
    <w:abstractNumId w:val="30"/>
  </w:num>
  <w:num w:numId="67">
    <w:abstractNumId w:val="36"/>
  </w:num>
  <w:num w:numId="68">
    <w:abstractNumId w:val="62"/>
  </w:num>
  <w:num w:numId="69">
    <w:abstractNumId w:val="48"/>
  </w:num>
  <w:num w:numId="70">
    <w:abstractNumId w:val="57"/>
  </w:num>
  <w:num w:numId="71">
    <w:abstractNumId w:val="43"/>
  </w:num>
  <w:num w:numId="72">
    <w:abstractNumId w:val="45"/>
  </w:num>
  <w:num w:numId="73">
    <w:abstractNumId w:val="35"/>
  </w:num>
  <w:num w:numId="74">
    <w:abstractNumId w:val="4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79"/>
    <w:rsid w:val="00044FA8"/>
    <w:rsid w:val="000912FA"/>
    <w:rsid w:val="000A78A2"/>
    <w:rsid w:val="000B62E7"/>
    <w:rsid w:val="00102BCE"/>
    <w:rsid w:val="00102C21"/>
    <w:rsid w:val="00107F3C"/>
    <w:rsid w:val="0012003A"/>
    <w:rsid w:val="001306FA"/>
    <w:rsid w:val="00130784"/>
    <w:rsid w:val="001400F3"/>
    <w:rsid w:val="00151C15"/>
    <w:rsid w:val="0015618E"/>
    <w:rsid w:val="00170EA6"/>
    <w:rsid w:val="00171F21"/>
    <w:rsid w:val="00171F5E"/>
    <w:rsid w:val="0017673F"/>
    <w:rsid w:val="00184161"/>
    <w:rsid w:val="00190F90"/>
    <w:rsid w:val="001A77C9"/>
    <w:rsid w:val="001C2CEF"/>
    <w:rsid w:val="001C4E2E"/>
    <w:rsid w:val="001D6495"/>
    <w:rsid w:val="001F10B8"/>
    <w:rsid w:val="001F6BE2"/>
    <w:rsid w:val="00213EAC"/>
    <w:rsid w:val="002144EA"/>
    <w:rsid w:val="00214C1D"/>
    <w:rsid w:val="0021676D"/>
    <w:rsid w:val="00217E09"/>
    <w:rsid w:val="00220017"/>
    <w:rsid w:val="002254C6"/>
    <w:rsid w:val="00232ACB"/>
    <w:rsid w:val="0023341D"/>
    <w:rsid w:val="00246D7B"/>
    <w:rsid w:val="002704CE"/>
    <w:rsid w:val="00272638"/>
    <w:rsid w:val="0028436C"/>
    <w:rsid w:val="002A5B90"/>
    <w:rsid w:val="002B3B32"/>
    <w:rsid w:val="002B3DB3"/>
    <w:rsid w:val="002C0981"/>
    <w:rsid w:val="002D1A16"/>
    <w:rsid w:val="002E7BED"/>
    <w:rsid w:val="002F5880"/>
    <w:rsid w:val="00307FD1"/>
    <w:rsid w:val="003613E9"/>
    <w:rsid w:val="00367A62"/>
    <w:rsid w:val="00384C73"/>
    <w:rsid w:val="003914D3"/>
    <w:rsid w:val="003C26D4"/>
    <w:rsid w:val="003D4883"/>
    <w:rsid w:val="003D5B23"/>
    <w:rsid w:val="003F2D6D"/>
    <w:rsid w:val="00406BE3"/>
    <w:rsid w:val="00410DEF"/>
    <w:rsid w:val="00416D23"/>
    <w:rsid w:val="004567D9"/>
    <w:rsid w:val="00460527"/>
    <w:rsid w:val="00474D5E"/>
    <w:rsid w:val="004751AF"/>
    <w:rsid w:val="004C5B75"/>
    <w:rsid w:val="004D6BBE"/>
    <w:rsid w:val="004F3D5C"/>
    <w:rsid w:val="0050013C"/>
    <w:rsid w:val="00513C46"/>
    <w:rsid w:val="00514D6C"/>
    <w:rsid w:val="00526938"/>
    <w:rsid w:val="0058142B"/>
    <w:rsid w:val="00592E41"/>
    <w:rsid w:val="00597507"/>
    <w:rsid w:val="005B5277"/>
    <w:rsid w:val="005D75B8"/>
    <w:rsid w:val="00604F85"/>
    <w:rsid w:val="00615B25"/>
    <w:rsid w:val="00620F67"/>
    <w:rsid w:val="006720EA"/>
    <w:rsid w:val="006751B3"/>
    <w:rsid w:val="007003F0"/>
    <w:rsid w:val="0071593C"/>
    <w:rsid w:val="00727476"/>
    <w:rsid w:val="0074295C"/>
    <w:rsid w:val="007444D4"/>
    <w:rsid w:val="00750926"/>
    <w:rsid w:val="00790995"/>
    <w:rsid w:val="00795779"/>
    <w:rsid w:val="00797737"/>
    <w:rsid w:val="007D0C83"/>
    <w:rsid w:val="007D150E"/>
    <w:rsid w:val="007E24D0"/>
    <w:rsid w:val="007E2C3A"/>
    <w:rsid w:val="007F69DB"/>
    <w:rsid w:val="00815DED"/>
    <w:rsid w:val="008243B2"/>
    <w:rsid w:val="008304D2"/>
    <w:rsid w:val="0083495E"/>
    <w:rsid w:val="00837102"/>
    <w:rsid w:val="00844A91"/>
    <w:rsid w:val="008657B1"/>
    <w:rsid w:val="00865E53"/>
    <w:rsid w:val="00881FAA"/>
    <w:rsid w:val="008826A7"/>
    <w:rsid w:val="008A40E8"/>
    <w:rsid w:val="008B09F5"/>
    <w:rsid w:val="008E139C"/>
    <w:rsid w:val="008F5B0A"/>
    <w:rsid w:val="009236E8"/>
    <w:rsid w:val="009254DA"/>
    <w:rsid w:val="00931DF0"/>
    <w:rsid w:val="00952D7C"/>
    <w:rsid w:val="00953B22"/>
    <w:rsid w:val="00954464"/>
    <w:rsid w:val="00962E1E"/>
    <w:rsid w:val="0098221D"/>
    <w:rsid w:val="00992B06"/>
    <w:rsid w:val="009B5514"/>
    <w:rsid w:val="009E26CB"/>
    <w:rsid w:val="009E2A8C"/>
    <w:rsid w:val="00A144CA"/>
    <w:rsid w:val="00A3105C"/>
    <w:rsid w:val="00A5173D"/>
    <w:rsid w:val="00A57EE6"/>
    <w:rsid w:val="00A61A71"/>
    <w:rsid w:val="00A70EB8"/>
    <w:rsid w:val="00A83F4E"/>
    <w:rsid w:val="00A9522B"/>
    <w:rsid w:val="00AC322B"/>
    <w:rsid w:val="00AE0D8F"/>
    <w:rsid w:val="00B00A75"/>
    <w:rsid w:val="00B017F7"/>
    <w:rsid w:val="00B026A1"/>
    <w:rsid w:val="00B0703B"/>
    <w:rsid w:val="00B1098C"/>
    <w:rsid w:val="00B1231C"/>
    <w:rsid w:val="00B14A79"/>
    <w:rsid w:val="00B37497"/>
    <w:rsid w:val="00B619B2"/>
    <w:rsid w:val="00B7150E"/>
    <w:rsid w:val="00B944C2"/>
    <w:rsid w:val="00B95E1D"/>
    <w:rsid w:val="00BB4E84"/>
    <w:rsid w:val="00BD13D7"/>
    <w:rsid w:val="00BD33FD"/>
    <w:rsid w:val="00C25DB5"/>
    <w:rsid w:val="00C46112"/>
    <w:rsid w:val="00C65EEA"/>
    <w:rsid w:val="00C755EA"/>
    <w:rsid w:val="00C946A3"/>
    <w:rsid w:val="00CA4883"/>
    <w:rsid w:val="00CC38D5"/>
    <w:rsid w:val="00CC4F50"/>
    <w:rsid w:val="00CE53AF"/>
    <w:rsid w:val="00D3410A"/>
    <w:rsid w:val="00D36979"/>
    <w:rsid w:val="00D36BEE"/>
    <w:rsid w:val="00D6102D"/>
    <w:rsid w:val="00D82B0A"/>
    <w:rsid w:val="00DB199D"/>
    <w:rsid w:val="00DE2AB6"/>
    <w:rsid w:val="00E1155C"/>
    <w:rsid w:val="00E16EA0"/>
    <w:rsid w:val="00E370B6"/>
    <w:rsid w:val="00E44056"/>
    <w:rsid w:val="00E63881"/>
    <w:rsid w:val="00E64EED"/>
    <w:rsid w:val="00E70CC1"/>
    <w:rsid w:val="00E7211F"/>
    <w:rsid w:val="00E80ADC"/>
    <w:rsid w:val="00E87E1C"/>
    <w:rsid w:val="00EE10DC"/>
    <w:rsid w:val="00EE173D"/>
    <w:rsid w:val="00F103C2"/>
    <w:rsid w:val="00F37840"/>
    <w:rsid w:val="00F563EA"/>
    <w:rsid w:val="00F57767"/>
    <w:rsid w:val="00F60FD7"/>
    <w:rsid w:val="00F86B74"/>
    <w:rsid w:val="00F90B89"/>
    <w:rsid w:val="00F92E3B"/>
    <w:rsid w:val="00F9750E"/>
    <w:rsid w:val="00FF5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0978DC"/>
  <w15:docId w15:val="{52F6FC65-7926-4533-9CA4-BFCC3C654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4A79"/>
    <w:pPr>
      <w:keepNext/>
      <w:keepLines/>
      <w:spacing w:before="600"/>
      <w:outlineLvl w:val="0"/>
    </w:pPr>
    <w:rPr>
      <w:rFonts w:ascii="Arial" w:eastAsia="Times New Roman" w:hAnsi="Arial" w:cs="Times New Roman"/>
      <w:b/>
      <w:bCs/>
      <w:sz w:val="24"/>
      <w:szCs w:val="28"/>
      <w:lang w:val="en-GB"/>
    </w:rPr>
  </w:style>
  <w:style w:type="paragraph" w:styleId="Heading2">
    <w:name w:val="heading 2"/>
    <w:basedOn w:val="Normal"/>
    <w:next w:val="Normal"/>
    <w:link w:val="Heading2Char"/>
    <w:uiPriority w:val="9"/>
    <w:semiHidden/>
    <w:unhideWhenUsed/>
    <w:qFormat/>
    <w:rsid w:val="00B14A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9099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4A79"/>
    <w:rPr>
      <w:rFonts w:ascii="Arial" w:eastAsia="Times New Roman" w:hAnsi="Arial" w:cs="Times New Roman"/>
      <w:b/>
      <w:bCs/>
      <w:sz w:val="24"/>
      <w:szCs w:val="28"/>
      <w:lang w:val="en-GB"/>
    </w:rPr>
  </w:style>
  <w:style w:type="paragraph" w:customStyle="1" w:styleId="Level2">
    <w:name w:val="Level 2"/>
    <w:basedOn w:val="Heading2"/>
    <w:link w:val="Level2Char"/>
    <w:autoRedefine/>
    <w:qFormat/>
    <w:rsid w:val="00B14A79"/>
    <w:pPr>
      <w:spacing w:line="240" w:lineRule="auto"/>
    </w:pPr>
    <w:rPr>
      <w:rFonts w:ascii="Arial" w:eastAsia="Times New Roman" w:hAnsi="Arial" w:cs="Times New Roman"/>
      <w:color w:val="auto"/>
      <w:sz w:val="22"/>
      <w:lang w:val="en-GB"/>
    </w:rPr>
  </w:style>
  <w:style w:type="character" w:customStyle="1" w:styleId="Level2Char">
    <w:name w:val="Level 2 Char"/>
    <w:link w:val="Level2"/>
    <w:rsid w:val="00B14A79"/>
    <w:rPr>
      <w:rFonts w:ascii="Arial" w:eastAsia="Times New Roman" w:hAnsi="Arial" w:cs="Times New Roman"/>
      <w:b/>
      <w:bCs/>
      <w:szCs w:val="26"/>
      <w:lang w:val="en-GB"/>
    </w:rPr>
  </w:style>
  <w:style w:type="character" w:styleId="Strong">
    <w:name w:val="Strong"/>
    <w:qFormat/>
    <w:rsid w:val="00B14A79"/>
    <w:rPr>
      <w:rFonts w:ascii="Arial" w:hAnsi="Arial"/>
      <w:bCs/>
      <w:color w:val="auto"/>
      <w:sz w:val="24"/>
      <w:u w:val="none"/>
    </w:rPr>
  </w:style>
  <w:style w:type="character" w:customStyle="1" w:styleId="Heading2Char">
    <w:name w:val="Heading 2 Char"/>
    <w:basedOn w:val="DefaultParagraphFont"/>
    <w:link w:val="Heading2"/>
    <w:uiPriority w:val="9"/>
    <w:semiHidden/>
    <w:rsid w:val="00B14A7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10DEF"/>
    <w:pPr>
      <w:ind w:left="720"/>
      <w:contextualSpacing/>
    </w:pPr>
  </w:style>
  <w:style w:type="paragraph" w:styleId="NoSpacing">
    <w:name w:val="No Spacing"/>
    <w:uiPriority w:val="1"/>
    <w:qFormat/>
    <w:rsid w:val="00B37497"/>
    <w:pPr>
      <w:spacing w:after="0" w:line="240" w:lineRule="auto"/>
    </w:pPr>
  </w:style>
  <w:style w:type="character" w:styleId="Hyperlink">
    <w:name w:val="Hyperlink"/>
    <w:basedOn w:val="DefaultParagraphFont"/>
    <w:uiPriority w:val="99"/>
    <w:unhideWhenUsed/>
    <w:rsid w:val="00B37497"/>
    <w:rPr>
      <w:color w:val="0000FF" w:themeColor="hyperlink"/>
      <w:u w:val="single"/>
    </w:rPr>
  </w:style>
  <w:style w:type="character" w:styleId="FollowedHyperlink">
    <w:name w:val="FollowedHyperlink"/>
    <w:basedOn w:val="DefaultParagraphFont"/>
    <w:uiPriority w:val="99"/>
    <w:semiHidden/>
    <w:unhideWhenUsed/>
    <w:rsid w:val="00B37497"/>
    <w:rPr>
      <w:color w:val="800080" w:themeColor="followedHyperlink"/>
      <w:u w:val="single"/>
    </w:rPr>
  </w:style>
  <w:style w:type="character" w:customStyle="1" w:styleId="UnresolvedMention">
    <w:name w:val="Unresolved Mention"/>
    <w:basedOn w:val="DefaultParagraphFont"/>
    <w:uiPriority w:val="99"/>
    <w:semiHidden/>
    <w:unhideWhenUsed/>
    <w:rsid w:val="008243B2"/>
    <w:rPr>
      <w:color w:val="605E5C"/>
      <w:shd w:val="clear" w:color="auto" w:fill="E1DFDD"/>
    </w:rPr>
  </w:style>
  <w:style w:type="paragraph" w:styleId="Header">
    <w:name w:val="header"/>
    <w:basedOn w:val="Normal"/>
    <w:link w:val="HeaderChar"/>
    <w:uiPriority w:val="99"/>
    <w:unhideWhenUsed/>
    <w:rsid w:val="00815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DED"/>
  </w:style>
  <w:style w:type="paragraph" w:styleId="Footer">
    <w:name w:val="footer"/>
    <w:basedOn w:val="Normal"/>
    <w:link w:val="FooterChar"/>
    <w:uiPriority w:val="99"/>
    <w:unhideWhenUsed/>
    <w:rsid w:val="00815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DED"/>
  </w:style>
  <w:style w:type="paragraph" w:styleId="NormalWeb">
    <w:name w:val="Normal (Web)"/>
    <w:basedOn w:val="Normal"/>
    <w:uiPriority w:val="99"/>
    <w:rsid w:val="0017673F"/>
    <w:pPr>
      <w:spacing w:before="100" w:beforeAutospacing="1" w:after="100" w:afterAutospacing="1" w:line="240" w:lineRule="auto"/>
      <w:jc w:val="both"/>
    </w:pPr>
    <w:rPr>
      <w:rFonts w:ascii="Times New Roman" w:eastAsia="Times New Roman" w:hAnsi="Times New Roman" w:cs="Times New Roman"/>
      <w:sz w:val="24"/>
      <w:szCs w:val="24"/>
      <w:lang w:val="en-GB" w:eastAsia="en-GB"/>
    </w:rPr>
  </w:style>
  <w:style w:type="paragraph" w:customStyle="1" w:styleId="CM58">
    <w:name w:val="CM58"/>
    <w:basedOn w:val="Normal"/>
    <w:next w:val="Normal"/>
    <w:uiPriority w:val="99"/>
    <w:rsid w:val="00B619B2"/>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def">
    <w:name w:val="def"/>
    <w:basedOn w:val="DefaultParagraphFont"/>
    <w:rsid w:val="00B619B2"/>
  </w:style>
  <w:style w:type="paragraph" w:styleId="BodyText3">
    <w:name w:val="Body Text 3"/>
    <w:basedOn w:val="Normal"/>
    <w:link w:val="BodyText3Char"/>
    <w:rsid w:val="00474D5E"/>
    <w:pPr>
      <w:suppressAutoHyphens/>
      <w:autoSpaceDN w:val="0"/>
      <w:spacing w:after="200"/>
      <w:textAlignment w:val="baseline"/>
    </w:pPr>
    <w:rPr>
      <w:rFonts w:ascii="Arial" w:eastAsia="Arial" w:hAnsi="Arial" w:cs="Arial"/>
      <w:kern w:val="3"/>
      <w:sz w:val="24"/>
      <w:lang w:val="en-GB" w:bidi="en-US"/>
    </w:rPr>
  </w:style>
  <w:style w:type="character" w:customStyle="1" w:styleId="BodyText3Char">
    <w:name w:val="Body Text 3 Char"/>
    <w:basedOn w:val="DefaultParagraphFont"/>
    <w:link w:val="BodyText3"/>
    <w:rsid w:val="00474D5E"/>
    <w:rPr>
      <w:rFonts w:ascii="Arial" w:eastAsia="Arial" w:hAnsi="Arial" w:cs="Arial"/>
      <w:kern w:val="3"/>
      <w:sz w:val="24"/>
      <w:lang w:val="en-GB" w:bidi="en-US"/>
    </w:rPr>
  </w:style>
  <w:style w:type="character" w:customStyle="1" w:styleId="link-internal">
    <w:name w:val="link-internal"/>
    <w:basedOn w:val="DefaultParagraphFont"/>
    <w:rsid w:val="00474D5E"/>
  </w:style>
  <w:style w:type="paragraph" w:customStyle="1" w:styleId="Standard">
    <w:name w:val="Standard"/>
    <w:rsid w:val="00474D5E"/>
    <w:pPr>
      <w:suppressAutoHyphens/>
      <w:autoSpaceDN w:val="0"/>
      <w:spacing w:after="200"/>
      <w:textAlignment w:val="baseline"/>
    </w:pPr>
    <w:rPr>
      <w:rFonts w:ascii="Calibri" w:eastAsia="Times New Roman" w:hAnsi="Calibri" w:cs="Times New Roman"/>
      <w:kern w:val="3"/>
      <w:lang w:bidi="en-US"/>
    </w:rPr>
  </w:style>
  <w:style w:type="table" w:styleId="TableGrid">
    <w:name w:val="Table Grid"/>
    <w:basedOn w:val="TableNormal"/>
    <w:uiPriority w:val="39"/>
    <w:rsid w:val="00474D5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58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880"/>
    <w:rPr>
      <w:rFonts w:ascii="Segoe UI" w:hAnsi="Segoe UI" w:cs="Segoe UI"/>
      <w:sz w:val="18"/>
      <w:szCs w:val="18"/>
    </w:rPr>
  </w:style>
  <w:style w:type="paragraph" w:customStyle="1" w:styleId="western">
    <w:name w:val="western"/>
    <w:basedOn w:val="Normal"/>
    <w:rsid w:val="00102C21"/>
    <w:pPr>
      <w:spacing w:before="119" w:after="0" w:line="278" w:lineRule="atLeast"/>
      <w:jc w:val="both"/>
    </w:pPr>
    <w:rPr>
      <w:rFonts w:ascii="Times New Roman" w:eastAsia="Times New Roman" w:hAnsi="Times New Roman" w:cs="Times New Roman"/>
      <w:sz w:val="28"/>
      <w:szCs w:val="28"/>
      <w:lang w:val="en-GB"/>
    </w:rPr>
  </w:style>
  <w:style w:type="paragraph" w:styleId="BodyTextIndent">
    <w:name w:val="Body Text Indent"/>
    <w:basedOn w:val="Normal"/>
    <w:link w:val="BodyTextIndentChar"/>
    <w:uiPriority w:val="99"/>
    <w:semiHidden/>
    <w:unhideWhenUsed/>
    <w:rsid w:val="00102C21"/>
    <w:pPr>
      <w:ind w:left="283"/>
    </w:pPr>
  </w:style>
  <w:style w:type="character" w:customStyle="1" w:styleId="BodyTextIndentChar">
    <w:name w:val="Body Text Indent Char"/>
    <w:basedOn w:val="DefaultParagraphFont"/>
    <w:link w:val="BodyTextIndent"/>
    <w:uiPriority w:val="99"/>
    <w:semiHidden/>
    <w:rsid w:val="00102C21"/>
  </w:style>
  <w:style w:type="paragraph" w:styleId="BodyText">
    <w:name w:val="Body Text"/>
    <w:basedOn w:val="Normal"/>
    <w:link w:val="BodyTextChar"/>
    <w:uiPriority w:val="99"/>
    <w:unhideWhenUsed/>
    <w:rsid w:val="00102C21"/>
  </w:style>
  <w:style w:type="character" w:customStyle="1" w:styleId="BodyTextChar">
    <w:name w:val="Body Text Char"/>
    <w:basedOn w:val="DefaultParagraphFont"/>
    <w:link w:val="BodyText"/>
    <w:uiPriority w:val="99"/>
    <w:rsid w:val="00102C21"/>
  </w:style>
  <w:style w:type="character" w:customStyle="1" w:styleId="Heading3Char">
    <w:name w:val="Heading 3 Char"/>
    <w:basedOn w:val="DefaultParagraphFont"/>
    <w:link w:val="Heading3"/>
    <w:uiPriority w:val="9"/>
    <w:semiHidden/>
    <w:rsid w:val="0079099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762733">
      <w:bodyDiv w:val="1"/>
      <w:marLeft w:val="0"/>
      <w:marRight w:val="0"/>
      <w:marTop w:val="0"/>
      <w:marBottom w:val="0"/>
      <w:divBdr>
        <w:top w:val="none" w:sz="0" w:space="0" w:color="auto"/>
        <w:left w:val="none" w:sz="0" w:space="0" w:color="auto"/>
        <w:bottom w:val="none" w:sz="0" w:space="0" w:color="auto"/>
        <w:right w:val="none" w:sz="0" w:space="0" w:color="auto"/>
      </w:divBdr>
    </w:div>
    <w:div w:id="588200593">
      <w:bodyDiv w:val="1"/>
      <w:marLeft w:val="0"/>
      <w:marRight w:val="0"/>
      <w:marTop w:val="0"/>
      <w:marBottom w:val="0"/>
      <w:divBdr>
        <w:top w:val="none" w:sz="0" w:space="0" w:color="auto"/>
        <w:left w:val="none" w:sz="0" w:space="0" w:color="auto"/>
        <w:bottom w:val="none" w:sz="0" w:space="0" w:color="auto"/>
        <w:right w:val="none" w:sz="0" w:space="0" w:color="auto"/>
      </w:divBdr>
    </w:div>
    <w:div w:id="1417164768">
      <w:bodyDiv w:val="1"/>
      <w:marLeft w:val="0"/>
      <w:marRight w:val="0"/>
      <w:marTop w:val="0"/>
      <w:marBottom w:val="0"/>
      <w:divBdr>
        <w:top w:val="none" w:sz="0" w:space="0" w:color="auto"/>
        <w:left w:val="none" w:sz="0" w:space="0" w:color="auto"/>
        <w:bottom w:val="none" w:sz="0" w:space="0" w:color="auto"/>
        <w:right w:val="none" w:sz="0" w:space="0" w:color="auto"/>
      </w:divBdr>
    </w:div>
    <w:div w:id="189466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qc.org.uk/guidance-providers/regulations-enforcement/regulation-11-need-consen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20/7/pdfs/ukpga_20200007_en.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108" TargetMode="External"/><Relationship Id="rId5" Type="http://schemas.openxmlformats.org/officeDocument/2006/relationships/webSettings" Target="webSettings.xml"/><Relationship Id="rId10" Type="http://schemas.openxmlformats.org/officeDocument/2006/relationships/hyperlink" Target="https://www.scie.org.uk/mca/introduction/mental-capacity-act-2005-at-a-glance"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497253/Mental-capacity-act-code-of-practi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84DA0-DEBF-42E5-B102-7843E634B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2017</Words>
  <Characters>11499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Senior Caretaker</cp:lastModifiedBy>
  <cp:revision>13</cp:revision>
  <dcterms:created xsi:type="dcterms:W3CDTF">2018-12-07T11:59:00Z</dcterms:created>
  <dcterms:modified xsi:type="dcterms:W3CDTF">2020-06-23T10:32:00Z</dcterms:modified>
</cp:coreProperties>
</file>