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1A1E572B" w:rsidR="00410DEF" w:rsidRPr="00BF0FD5" w:rsidRDefault="00076134" w:rsidP="00BF0FD5">
      <w:pPr>
        <w:pStyle w:val="Heading1"/>
        <w:jc w:val="center"/>
        <w:rPr>
          <w:sz w:val="28"/>
        </w:rPr>
      </w:pPr>
      <w:bookmarkStart w:id="0" w:name="Disciplinary"/>
      <w:bookmarkEnd w:id="0"/>
      <w:r w:rsidRPr="00BF0FD5">
        <w:rPr>
          <w:sz w:val="28"/>
        </w:rPr>
        <w:t>D</w:t>
      </w:r>
      <w:r w:rsidR="002A1DEB" w:rsidRPr="00BF0FD5">
        <w:rPr>
          <w:sz w:val="28"/>
        </w:rPr>
        <w:t>I</w:t>
      </w:r>
      <w:r w:rsidR="00FF164D" w:rsidRPr="00BF0FD5">
        <w:rPr>
          <w:sz w:val="28"/>
        </w:rPr>
        <w:t>SCIPLINARY</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45EBD1A6" w:rsidR="00630D63" w:rsidRDefault="009274B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p w14:paraId="6EAA1B51" w14:textId="77777777" w:rsidR="00BF0FD5" w:rsidRDefault="00BF0FD5">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6D3029DE" w:rsidR="00B7150E" w:rsidRPr="009274B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Policy Statement</w:t>
      </w:r>
    </w:p>
    <w:p w14:paraId="67AD1032" w14:textId="7BD4BED9" w:rsidR="00FC505D" w:rsidRPr="009274BE" w:rsidRDefault="00090B3F"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T</w:t>
      </w:r>
      <w:r w:rsidR="00B7150E" w:rsidRPr="009274BE">
        <w:rPr>
          <w:rFonts w:ascii="Arial" w:eastAsia="HGGothicM" w:hAnsi="Arial" w:cs="Arial"/>
          <w:bCs/>
          <w:color w:val="000000" w:themeColor="text1"/>
          <w:sz w:val="24"/>
          <w:szCs w:val="24"/>
          <w:lang w:bidi="en-US"/>
        </w:rPr>
        <w:t>he Policy</w:t>
      </w:r>
    </w:p>
    <w:p w14:paraId="2BAA8A10" w14:textId="2499E807" w:rsidR="00344354" w:rsidRPr="009274BE" w:rsidRDefault="00344354"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Staff Disciplinary Policy</w:t>
      </w:r>
    </w:p>
    <w:p w14:paraId="70814551" w14:textId="333C9ACF" w:rsidR="008A0587" w:rsidRPr="009274BE" w:rsidRDefault="008A0587" w:rsidP="00344354">
      <w:pPr>
        <w:pStyle w:val="ListParagraph"/>
        <w:keepNext/>
        <w:keepLines/>
        <w:widowControl w:val="0"/>
        <w:numPr>
          <w:ilvl w:val="0"/>
          <w:numId w:val="13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Written Warnings</w:t>
      </w:r>
    </w:p>
    <w:p w14:paraId="370BC1C1" w14:textId="4BEA9349" w:rsidR="008A0587" w:rsidRPr="009274BE" w:rsidRDefault="008A0587" w:rsidP="00344354">
      <w:pPr>
        <w:pStyle w:val="ListParagraph"/>
        <w:keepNext/>
        <w:keepLines/>
        <w:widowControl w:val="0"/>
        <w:numPr>
          <w:ilvl w:val="0"/>
          <w:numId w:val="13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Appeals</w:t>
      </w:r>
    </w:p>
    <w:p w14:paraId="01212E37" w14:textId="4CB4A560" w:rsidR="008A0587" w:rsidRPr="009274BE" w:rsidRDefault="008A0587" w:rsidP="00344354">
      <w:pPr>
        <w:pStyle w:val="ListParagraph"/>
        <w:keepNext/>
        <w:keepLines/>
        <w:widowControl w:val="0"/>
        <w:numPr>
          <w:ilvl w:val="0"/>
          <w:numId w:val="13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Records</w:t>
      </w:r>
    </w:p>
    <w:p w14:paraId="6CE0DEDF" w14:textId="3815664E" w:rsidR="00B7150E" w:rsidRPr="009274B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Related Policies</w:t>
      </w:r>
    </w:p>
    <w:p w14:paraId="4144DE55" w14:textId="780BAA6A" w:rsidR="00B7150E" w:rsidRPr="009274B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Related Guidance</w:t>
      </w:r>
    </w:p>
    <w:p w14:paraId="2D8DA629" w14:textId="62B6B389" w:rsidR="00A61A71" w:rsidRPr="009274BE"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9274BE">
        <w:rPr>
          <w:rFonts w:ascii="Arial" w:eastAsia="HGGothicM" w:hAnsi="Arial" w:cs="Arial"/>
          <w:bCs/>
          <w:color w:val="000000" w:themeColor="text1"/>
          <w:sz w:val="24"/>
          <w:szCs w:val="24"/>
          <w:lang w:bidi="en-US"/>
        </w:rPr>
        <w:t>Training Statement</w:t>
      </w:r>
    </w:p>
    <w:p w14:paraId="6ECF406A" w14:textId="77777777" w:rsidR="00A66F15" w:rsidRDefault="00B7150E" w:rsidP="00A66F15">
      <w:pPr>
        <w:keepNext/>
        <w:keepLines/>
        <w:spacing w:before="360" w:after="0" w:line="240" w:lineRule="auto"/>
        <w:outlineLvl w:val="0"/>
        <w:rPr>
          <w:rFonts w:ascii="Arial" w:eastAsia="HGGothicM" w:hAnsi="Arial" w:cs="Arial"/>
          <w:b/>
          <w:bCs/>
          <w:color w:val="365F91" w:themeColor="accent1" w:themeShade="BF"/>
          <w:sz w:val="24"/>
          <w:szCs w:val="24"/>
          <w:lang w:eastAsia="en-GB"/>
        </w:rPr>
      </w:pPr>
      <w:bookmarkStart w:id="3" w:name="_Hlk527628763"/>
      <w:r>
        <w:rPr>
          <w:rFonts w:ascii="Arial" w:eastAsia="HGGothicM" w:hAnsi="Arial" w:cs="Arial"/>
          <w:b/>
          <w:bCs/>
          <w:color w:val="365F91" w:themeColor="accent1" w:themeShade="BF"/>
          <w:sz w:val="24"/>
          <w:szCs w:val="24"/>
          <w:lang w:eastAsia="en-GB"/>
        </w:rPr>
        <w:t>Policy Statement</w:t>
      </w:r>
      <w:bookmarkEnd w:id="3"/>
    </w:p>
    <w:p w14:paraId="62562E2B" w14:textId="1100F655" w:rsidR="00344354" w:rsidRPr="009274BE" w:rsidRDefault="00344354" w:rsidP="00093612">
      <w:pPr>
        <w:keepNext/>
        <w:keepLines/>
        <w:spacing w:before="360" w:after="0" w:line="276" w:lineRule="auto"/>
        <w:ind w:left="0"/>
        <w:jc w:val="both"/>
        <w:outlineLvl w:val="0"/>
        <w:rPr>
          <w:rFonts w:ascii="Arial" w:eastAsia="HGGothicM" w:hAnsi="Arial" w:cs="Arial"/>
          <w:b/>
          <w:bCs/>
          <w:sz w:val="24"/>
          <w:szCs w:val="24"/>
          <w:lang w:eastAsia="en-GB"/>
        </w:rPr>
      </w:pPr>
      <w:r w:rsidRPr="00344354">
        <w:rPr>
          <w:rFonts w:ascii="Arial" w:eastAsia="Times New Roman" w:hAnsi="Arial" w:cs="Arial"/>
          <w:sz w:val="24"/>
          <w:szCs w:val="24"/>
          <w:lang w:val="en-GB" w:eastAsia="sk-SK"/>
        </w:rPr>
        <w:t>All employers are unfortunately forced to administer discipline to staff at some time or another. This organisation believes that any disciplinary action taken should aim to identify those problems that precipitated the disciplinary action being required, and to assist in correcting them. The organisation believes that it is in the interests of all that disciplinary actions are carried out in a prompt, uniform and impartial way, and that the main purpose of disciplinary action is to correct the problem, prevent its recurrence and prepare the employee for delivering satisfactory service in the future.</w:t>
      </w:r>
      <w:r w:rsidR="00F652C6">
        <w:rPr>
          <w:rFonts w:ascii="Arial" w:eastAsia="Times New Roman" w:hAnsi="Arial" w:cs="Arial"/>
          <w:sz w:val="24"/>
          <w:szCs w:val="24"/>
          <w:lang w:val="en-GB" w:eastAsia="sk-SK"/>
        </w:rPr>
        <w:t xml:space="preserve"> </w:t>
      </w:r>
      <w:r w:rsidR="00794D53" w:rsidRPr="009274BE">
        <w:rPr>
          <w:rFonts w:ascii="Arial" w:eastAsia="Times New Roman" w:hAnsi="Arial" w:cs="Arial"/>
          <w:sz w:val="24"/>
          <w:szCs w:val="24"/>
          <w:lang w:val="en-GB" w:eastAsia="sk-SK"/>
        </w:rPr>
        <w:t>At the earliest opportunity, advice must be sought from our Employment Law Advisors</w:t>
      </w:r>
      <w:r w:rsidR="009274BE" w:rsidRPr="009274BE">
        <w:rPr>
          <w:rFonts w:ascii="Arial" w:eastAsia="Times New Roman" w:hAnsi="Arial" w:cs="Arial"/>
          <w:sz w:val="24"/>
          <w:szCs w:val="24"/>
          <w:lang w:val="en-GB" w:eastAsia="sk-SK"/>
        </w:rPr>
        <w:t xml:space="preserve"> 3CP training</w:t>
      </w:r>
      <w:r w:rsidR="009274BE">
        <w:rPr>
          <w:rFonts w:ascii="Arial" w:eastAsia="Times New Roman" w:hAnsi="Arial" w:cs="Arial"/>
          <w:sz w:val="24"/>
          <w:szCs w:val="24"/>
          <w:lang w:val="en-GB" w:eastAsia="sk-SK"/>
        </w:rPr>
        <w:t>/Federation of Small Businesses</w:t>
      </w:r>
      <w:r w:rsidR="00794D53" w:rsidRPr="009274BE">
        <w:rPr>
          <w:rFonts w:ascii="Arial" w:eastAsia="Times New Roman" w:hAnsi="Arial" w:cs="Arial"/>
          <w:sz w:val="24"/>
          <w:szCs w:val="24"/>
          <w:lang w:val="en-GB" w:eastAsia="sk-SK"/>
        </w:rPr>
        <w:t xml:space="preserve"> and all advice received will be recorded as follows</w:t>
      </w:r>
    </w:p>
    <w:p w14:paraId="6CED15BB" w14:textId="77777777" w:rsidR="00A66F15" w:rsidRPr="009274BE" w:rsidRDefault="00344354" w:rsidP="00093612">
      <w:pPr>
        <w:spacing w:before="100" w:beforeAutospacing="1" w:after="100" w:afterAutospacing="1" w:line="276" w:lineRule="auto"/>
        <w:ind w:left="0"/>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 xml:space="preserve">This organisation adheres fully to the Advisory, Conciliation and Arbitration Service (ACAS) Code of Practice </w:t>
      </w:r>
      <w:r w:rsidRPr="00093612">
        <w:rPr>
          <w:rFonts w:ascii="Arial" w:eastAsia="Times New Roman" w:hAnsi="Arial" w:cs="Arial"/>
          <w:sz w:val="24"/>
          <w:szCs w:val="24"/>
          <w:lang w:val="en-GB" w:eastAsia="sk-SK"/>
        </w:rPr>
        <w:t>Disciplinary and Grievance Procedures</w:t>
      </w:r>
      <w:r w:rsidRPr="009274BE">
        <w:rPr>
          <w:rFonts w:ascii="Arial" w:eastAsia="Times New Roman" w:hAnsi="Arial" w:cs="Arial"/>
          <w:sz w:val="24"/>
          <w:szCs w:val="24"/>
          <w:lang w:val="en-GB" w:eastAsia="sk-SK"/>
        </w:rPr>
        <w:t>.</w:t>
      </w:r>
      <w:r w:rsidR="00A66F15" w:rsidRPr="009274BE">
        <w:rPr>
          <w:rFonts w:ascii="Arial" w:eastAsia="Times New Roman" w:hAnsi="Arial" w:cs="Arial"/>
          <w:sz w:val="24"/>
          <w:szCs w:val="24"/>
          <w:lang w:val="en-GB" w:eastAsia="sk-SK"/>
        </w:rPr>
        <w:t xml:space="preserve"> The principles of these procedures are</w:t>
      </w:r>
    </w:p>
    <w:p w14:paraId="7E39746D" w14:textId="5E679E98"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Step 1: Understanding the options</w:t>
      </w:r>
    </w:p>
    <w:p w14:paraId="7D34689A" w14:textId="483C0A34"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w:t>
      </w:r>
      <w:hyperlink r:id="rId8" w:history="1">
        <w:r w:rsidRPr="009274BE">
          <w:rPr>
            <w:rFonts w:ascii="Arial" w:eastAsia="Times New Roman" w:hAnsi="Arial" w:cs="Arial"/>
            <w:sz w:val="24"/>
            <w:szCs w:val="24"/>
            <w:lang w:val="en-GB" w:eastAsia="sk-SK"/>
          </w:rPr>
          <w:t>Step 2: Following a fair procedure</w:t>
        </w:r>
      </w:hyperlink>
    </w:p>
    <w:p w14:paraId="5E9DCCDC" w14:textId="426056B1"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w:t>
      </w:r>
      <w:hyperlink r:id="rId9" w:history="1">
        <w:r w:rsidRPr="009274BE">
          <w:rPr>
            <w:rFonts w:ascii="Arial" w:eastAsia="Times New Roman" w:hAnsi="Arial" w:cs="Arial"/>
            <w:sz w:val="24"/>
            <w:szCs w:val="24"/>
            <w:lang w:val="en-GB" w:eastAsia="sk-SK"/>
          </w:rPr>
          <w:t>Step 3: Carrying out an investigation</w:t>
        </w:r>
      </w:hyperlink>
    </w:p>
    <w:p w14:paraId="66C909EF" w14:textId="04EA8A10"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w:t>
      </w:r>
      <w:hyperlink r:id="rId10" w:history="1">
        <w:r w:rsidRPr="009274BE">
          <w:rPr>
            <w:rFonts w:ascii="Arial" w:eastAsia="Times New Roman" w:hAnsi="Arial" w:cs="Arial"/>
            <w:sz w:val="24"/>
            <w:szCs w:val="24"/>
            <w:lang w:val="en-GB" w:eastAsia="sk-SK"/>
          </w:rPr>
          <w:t>Step 4: The disciplinary hearing</w:t>
        </w:r>
      </w:hyperlink>
    </w:p>
    <w:p w14:paraId="498EF2E3" w14:textId="34BF3F69"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w:t>
      </w:r>
      <w:hyperlink r:id="rId11" w:history="1">
        <w:r w:rsidRPr="009274BE">
          <w:rPr>
            <w:rFonts w:ascii="Arial" w:eastAsia="Times New Roman" w:hAnsi="Arial" w:cs="Arial"/>
            <w:sz w:val="24"/>
            <w:szCs w:val="24"/>
            <w:lang w:val="en-GB" w:eastAsia="sk-SK"/>
          </w:rPr>
          <w:t>Step 5: Deciding on the disciplinary outcome</w:t>
        </w:r>
      </w:hyperlink>
    </w:p>
    <w:p w14:paraId="0C08B8DF" w14:textId="50A29FDC" w:rsidR="00A66F15" w:rsidRPr="009274BE" w:rsidRDefault="00A66F15" w:rsidP="00093612">
      <w:pPr>
        <w:spacing w:after="0" w:line="276" w:lineRule="auto"/>
        <w:ind w:left="-360"/>
        <w:jc w:val="both"/>
        <w:textAlignment w:val="baseline"/>
        <w:rPr>
          <w:rFonts w:ascii="Arial" w:eastAsia="Times New Roman" w:hAnsi="Arial" w:cs="Arial"/>
          <w:sz w:val="24"/>
          <w:szCs w:val="24"/>
          <w:lang w:val="en-GB" w:eastAsia="sk-SK"/>
        </w:rPr>
      </w:pPr>
      <w:r w:rsidRPr="009274BE">
        <w:rPr>
          <w:rFonts w:ascii="Arial" w:eastAsia="Times New Roman" w:hAnsi="Arial" w:cs="Arial"/>
          <w:sz w:val="24"/>
          <w:szCs w:val="24"/>
          <w:lang w:val="en-GB" w:eastAsia="sk-SK"/>
        </w:rPr>
        <w:t xml:space="preserve">     </w:t>
      </w:r>
      <w:hyperlink r:id="rId12" w:history="1">
        <w:r w:rsidRPr="009274BE">
          <w:rPr>
            <w:rFonts w:ascii="Arial" w:eastAsia="Times New Roman" w:hAnsi="Arial" w:cs="Arial"/>
            <w:sz w:val="24"/>
            <w:szCs w:val="24"/>
            <w:lang w:val="en-GB" w:eastAsia="sk-SK"/>
          </w:rPr>
          <w:t>Step 6: After the disciplinary procedure</w:t>
        </w:r>
      </w:hyperlink>
    </w:p>
    <w:p w14:paraId="24FE2024" w14:textId="4423D1E1" w:rsidR="00EB0467" w:rsidRPr="00EB0467" w:rsidRDefault="00AD5C8F" w:rsidP="00093612">
      <w:pPr>
        <w:pStyle w:val="Heading1"/>
        <w:jc w:val="both"/>
        <w:rPr>
          <w:rFonts w:eastAsia="HGGothicM" w:cs="Arial"/>
          <w:bCs w:val="0"/>
          <w:color w:val="365F91" w:themeColor="accent1" w:themeShade="BF"/>
          <w:szCs w:val="24"/>
          <w:lang w:eastAsia="en-GB"/>
        </w:rPr>
      </w:pPr>
      <w:r w:rsidRPr="0087273C">
        <w:rPr>
          <w:rFonts w:eastAsia="HGGothicM" w:cs="Arial"/>
          <w:bCs w:val="0"/>
          <w:color w:val="365F91" w:themeColor="accent1" w:themeShade="BF"/>
          <w:szCs w:val="24"/>
          <w:lang w:eastAsia="en-GB"/>
        </w:rPr>
        <w:lastRenderedPageBreak/>
        <w:t>The Policy</w:t>
      </w:r>
    </w:p>
    <w:p w14:paraId="04245B7A"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This policy is intended to set out the values, principles and policies underpinning this organisation’s approach to staff discipline. The purpose of this policy is to ensure a fair and systematic approach to the enforcement of acceptable standards of conduct and behaviour amongst all employees.</w:t>
      </w:r>
    </w:p>
    <w:p w14:paraId="01D5FBBD" w14:textId="77777777" w:rsidR="00344354" w:rsidRPr="00344354" w:rsidRDefault="00344354" w:rsidP="00093612">
      <w:pPr>
        <w:pStyle w:val="Heading1"/>
        <w:jc w:val="both"/>
        <w:rPr>
          <w:lang w:eastAsia="sk-SK"/>
        </w:rPr>
      </w:pPr>
      <w:bookmarkStart w:id="4" w:name="_Toc408410934"/>
      <w:bookmarkStart w:id="5" w:name="_Toc408495699"/>
      <w:bookmarkStart w:id="6" w:name="_Toc409431196"/>
      <w:r w:rsidRPr="00344354">
        <w:rPr>
          <w:lang w:eastAsia="sk-SK"/>
        </w:rPr>
        <w:t>Staff Disciplinary Policy</w:t>
      </w:r>
      <w:bookmarkEnd w:id="4"/>
      <w:bookmarkEnd w:id="5"/>
      <w:bookmarkEnd w:id="6"/>
    </w:p>
    <w:p w14:paraId="09273FC8"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In this organisation disciplinary action may be taken in response to one of the following:</w:t>
      </w:r>
    </w:p>
    <w:p w14:paraId="41C67F06" w14:textId="77777777" w:rsidR="00344354" w:rsidRPr="00344354" w:rsidRDefault="00344354" w:rsidP="00093612">
      <w:pPr>
        <w:numPr>
          <w:ilvl w:val="0"/>
          <w:numId w:val="129"/>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Unsatisfactory performance at work</w:t>
      </w:r>
    </w:p>
    <w:p w14:paraId="7703EFD2" w14:textId="77777777" w:rsidR="00344354" w:rsidRPr="00344354" w:rsidRDefault="00344354" w:rsidP="00093612">
      <w:pPr>
        <w:numPr>
          <w:ilvl w:val="0"/>
          <w:numId w:val="129"/>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Improper behaviour at work</w:t>
      </w:r>
    </w:p>
    <w:p w14:paraId="6D14365C" w14:textId="77777777" w:rsidR="00344354" w:rsidRPr="00344354" w:rsidRDefault="00344354" w:rsidP="00093612">
      <w:pPr>
        <w:numPr>
          <w:ilvl w:val="0"/>
          <w:numId w:val="129"/>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Persistent lateness or absenteeism</w:t>
      </w:r>
    </w:p>
    <w:p w14:paraId="3B7656FE" w14:textId="77777777" w:rsidR="00344354" w:rsidRPr="00344354" w:rsidRDefault="00344354" w:rsidP="00093612">
      <w:pPr>
        <w:numPr>
          <w:ilvl w:val="0"/>
          <w:numId w:val="129"/>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Misconduct.</w:t>
      </w:r>
    </w:p>
    <w:p w14:paraId="45F41395"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In this organisation disciplinary action may take one of the following forms depending on the severity of the problem and the number of occurrences:</w:t>
      </w:r>
    </w:p>
    <w:p w14:paraId="3FA015A5" w14:textId="77777777" w:rsidR="00344354" w:rsidRPr="00344354" w:rsidRDefault="00344354" w:rsidP="00093612">
      <w:pPr>
        <w:numPr>
          <w:ilvl w:val="0"/>
          <w:numId w:val="125"/>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Verbal warnings</w:t>
      </w:r>
    </w:p>
    <w:p w14:paraId="7B6B1E99" w14:textId="77777777" w:rsidR="00344354" w:rsidRPr="00344354" w:rsidRDefault="00344354" w:rsidP="00093612">
      <w:pPr>
        <w:numPr>
          <w:ilvl w:val="0"/>
          <w:numId w:val="125"/>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One or more written warnings</w:t>
      </w:r>
    </w:p>
    <w:p w14:paraId="5781D49C" w14:textId="77777777" w:rsidR="00344354" w:rsidRPr="00344354" w:rsidRDefault="00344354" w:rsidP="00093612">
      <w:pPr>
        <w:numPr>
          <w:ilvl w:val="0"/>
          <w:numId w:val="125"/>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Suspension with or without pay</w:t>
      </w:r>
    </w:p>
    <w:p w14:paraId="2AC6366C" w14:textId="77777777" w:rsidR="00344354" w:rsidRPr="00344354" w:rsidRDefault="00344354" w:rsidP="00093612">
      <w:pPr>
        <w:numPr>
          <w:ilvl w:val="0"/>
          <w:numId w:val="125"/>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Dismissal.</w:t>
      </w:r>
    </w:p>
    <w:p w14:paraId="1122873B"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Suspension is considered as a “last resort” mechanism which considers employee length of service and security of the breach.</w:t>
      </w:r>
    </w:p>
    <w:p w14:paraId="74AAAC89"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In this organisation the following procedure applies.</w:t>
      </w:r>
    </w:p>
    <w:p w14:paraId="52A9F642"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For offences other than serious or gross misconduct, the employee’s immediate supervisor or line manager should first ascertain the facts and review any evidence relating to any breach of rules or discipline. The employee will be interviewed in private and should be asked for an explanation. The immediate supervisor or line manager will then decide upon a course of action.</w:t>
      </w:r>
    </w:p>
    <w:p w14:paraId="5D5930CB"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If an informal, verbal warning is decided upon then this should be administered in private by the immediate supervisor or line manager, and appropriate notes made in the employee’s personnel file.</w:t>
      </w:r>
    </w:p>
    <w:p w14:paraId="41B1CE63"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If a formal, written warning is required―because an informal warning has already been given for the offence or because of the severity of the offence―only a senior organisation manager or head of organisation should carry this out. Appropriate notes should be made in the employee’s personnel file.</w:t>
      </w:r>
    </w:p>
    <w:p w14:paraId="5D47825B"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If the offence is repeated, or agreed improvements are not made, then a second and final written warning may be issued.</w:t>
      </w:r>
    </w:p>
    <w:p w14:paraId="1B60C776"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 xml:space="preserve">If standards improve and there is no repetition of the offence then the employee may request that the warning is removed from their file after 12 months. The organisation reserves the right to refuse to remove the offence from the file if it </w:t>
      </w:r>
      <w:r w:rsidRPr="00344354">
        <w:rPr>
          <w:rFonts w:ascii="Arial" w:eastAsia="Times New Roman" w:hAnsi="Arial" w:cs="Arial"/>
          <w:sz w:val="24"/>
          <w:szCs w:val="24"/>
          <w:lang w:val="en-GB" w:eastAsia="sk-SK"/>
        </w:rPr>
        <w:lastRenderedPageBreak/>
        <w:t>feels that the offence warrants or that there is a likelihood of further transgression.</w:t>
      </w:r>
    </w:p>
    <w:p w14:paraId="6AD0AAA5"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An employee may be suspended without pay if the organisation deems them incapable of performing their duties, or while investigations take place. A written copy of the suspension should be given to the member of staff by the head of organisation.</w:t>
      </w:r>
    </w:p>
    <w:p w14:paraId="622F5F4B" w14:textId="77777777" w:rsidR="00344354" w:rsidRPr="00344354" w:rsidRDefault="00344354" w:rsidP="00093612">
      <w:pPr>
        <w:numPr>
          <w:ilvl w:val="0"/>
          <w:numId w:val="126"/>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An employee may be dismissed if:</w:t>
      </w:r>
    </w:p>
    <w:p w14:paraId="4E67BB0E" w14:textId="77777777" w:rsidR="00344354" w:rsidRPr="00344354" w:rsidRDefault="00344354" w:rsidP="00093612">
      <w:pPr>
        <w:numPr>
          <w:ilvl w:val="1"/>
          <w:numId w:val="130"/>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They have already received a final written warning and then repeat the offence</w:t>
      </w:r>
    </w:p>
    <w:p w14:paraId="7C7FD6C2" w14:textId="77777777" w:rsidR="00344354" w:rsidRPr="00344354" w:rsidRDefault="00344354" w:rsidP="00093612">
      <w:pPr>
        <w:numPr>
          <w:ilvl w:val="1"/>
          <w:numId w:val="130"/>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They have been suspended and the organisation decides that, upon investigation, their offence merits dismissal</w:t>
      </w:r>
    </w:p>
    <w:p w14:paraId="4F5EC60A" w14:textId="77777777" w:rsidR="00344354" w:rsidRPr="00344354" w:rsidRDefault="00344354" w:rsidP="00093612">
      <w:pPr>
        <w:numPr>
          <w:ilvl w:val="1"/>
          <w:numId w:val="130"/>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They have committed serious or gross misconduct</w:t>
      </w:r>
    </w:p>
    <w:p w14:paraId="01E04753" w14:textId="77777777" w:rsidR="00344354" w:rsidRPr="00344354" w:rsidRDefault="00344354" w:rsidP="00093612">
      <w:pPr>
        <w:numPr>
          <w:ilvl w:val="1"/>
          <w:numId w:val="130"/>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They have committed an offence that makes their continued employment impossible.</w:t>
      </w:r>
    </w:p>
    <w:p w14:paraId="141CFEE4"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organisation recognises that there are certain types of problem that are so serious they justify either a suspension or, in extreme situations, dismissal, without verbal or written warnings being given.</w:t>
      </w:r>
    </w:p>
    <w:p w14:paraId="376B2C19"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In this organisation the following apply.</w:t>
      </w:r>
    </w:p>
    <w:p w14:paraId="25879F90"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Disciplinary matters should be dealt with quickly and fairly</w:t>
      </w:r>
    </w:p>
    <w:p w14:paraId="5F01210A"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An indication should be provided of the disciplinary action that might be taken</w:t>
      </w:r>
    </w:p>
    <w:p w14:paraId="495D72A5"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Supervisors or line managers can issue verbal warnings</w:t>
      </w:r>
    </w:p>
    <w:p w14:paraId="21040101"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Only the head of organisation or senior organisation management can use written warnings and dismissal</w:t>
      </w:r>
    </w:p>
    <w:p w14:paraId="31A74DC5"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Employees should be told of the complaint against them and be given full opportunity to state their case before a decision is taken</w:t>
      </w:r>
    </w:p>
    <w:p w14:paraId="7A5F4033"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Employees have the right to be accompanied by a trade union representative or fellow employee of their choice</w:t>
      </w:r>
    </w:p>
    <w:p w14:paraId="332EE93A"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Employees will not normally be dismissed for a first offence, other than gross misconduct</w:t>
      </w:r>
    </w:p>
    <w:p w14:paraId="29B623EC"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No disciplinary action will be taken before there has been a full investigation</w:t>
      </w:r>
    </w:p>
    <w:p w14:paraId="4B8CE402"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An explanation of any penalty will be given</w:t>
      </w:r>
    </w:p>
    <w:p w14:paraId="7714014E" w14:textId="77777777" w:rsidR="00344354" w:rsidRPr="00344354" w:rsidRDefault="00344354" w:rsidP="00093612">
      <w:pPr>
        <w:numPr>
          <w:ilvl w:val="0"/>
          <w:numId w:val="127"/>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Employees have a right of appeal.</w:t>
      </w:r>
    </w:p>
    <w:p w14:paraId="558312B5" w14:textId="77777777" w:rsidR="00344354" w:rsidRPr="00344354" w:rsidRDefault="00344354" w:rsidP="00093612">
      <w:pPr>
        <w:spacing w:after="200"/>
        <w:jc w:val="both"/>
        <w:rPr>
          <w:rFonts w:ascii="Arial" w:eastAsia="Times New Roman" w:hAnsi="Arial" w:cs="Times New Roman"/>
          <w:b/>
          <w:sz w:val="24"/>
          <w:szCs w:val="24"/>
          <w:lang w:val="en-GB" w:eastAsia="sk-SK"/>
        </w:rPr>
      </w:pPr>
      <w:bookmarkStart w:id="7" w:name="_Toc408410935"/>
      <w:bookmarkStart w:id="8" w:name="_Toc408495700"/>
      <w:bookmarkStart w:id="9" w:name="_Toc409431197"/>
      <w:r w:rsidRPr="00344354">
        <w:rPr>
          <w:rFonts w:ascii="Arial" w:eastAsia="Times New Roman" w:hAnsi="Arial" w:cs="Times New Roman"/>
          <w:b/>
          <w:sz w:val="24"/>
          <w:szCs w:val="24"/>
          <w:lang w:val="en-GB" w:eastAsia="sk-SK"/>
        </w:rPr>
        <w:t>Written warnings</w:t>
      </w:r>
      <w:bookmarkEnd w:id="7"/>
      <w:bookmarkEnd w:id="8"/>
      <w:bookmarkEnd w:id="9"/>
    </w:p>
    <w:p w14:paraId="20718FE2"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Written warnings should state clearly:</w:t>
      </w:r>
    </w:p>
    <w:p w14:paraId="3FA99AAE" w14:textId="77777777" w:rsidR="00344354" w:rsidRPr="00344354" w:rsidRDefault="00344354" w:rsidP="00093612">
      <w:pPr>
        <w:numPr>
          <w:ilvl w:val="0"/>
          <w:numId w:val="128"/>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conduct concerned</w:t>
      </w:r>
    </w:p>
    <w:p w14:paraId="689FED49" w14:textId="77777777" w:rsidR="00344354" w:rsidRPr="00344354" w:rsidRDefault="00344354" w:rsidP="00093612">
      <w:pPr>
        <w:numPr>
          <w:ilvl w:val="0"/>
          <w:numId w:val="128"/>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improvement required and the time limit for this, if appropriate</w:t>
      </w:r>
    </w:p>
    <w:p w14:paraId="5A5EEED2" w14:textId="77777777" w:rsidR="00344354" w:rsidRPr="00344354" w:rsidRDefault="00344354" w:rsidP="00093612">
      <w:pPr>
        <w:numPr>
          <w:ilvl w:val="0"/>
          <w:numId w:val="128"/>
        </w:num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likely consequences of further offences or failure to improve (e.g. final warning, dismissal, etc.).</w:t>
      </w:r>
    </w:p>
    <w:p w14:paraId="06FCDE50"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warning should be handed to the employee, who should be informed of the right of appeal.</w:t>
      </w:r>
    </w:p>
    <w:p w14:paraId="2DE94562" w14:textId="77777777" w:rsidR="00344354" w:rsidRPr="00344354" w:rsidRDefault="00344354" w:rsidP="00093612">
      <w:pPr>
        <w:spacing w:after="200"/>
        <w:jc w:val="both"/>
        <w:rPr>
          <w:rFonts w:ascii="Arial" w:eastAsia="Times New Roman" w:hAnsi="Arial" w:cs="Times New Roman"/>
          <w:b/>
          <w:sz w:val="24"/>
          <w:szCs w:val="24"/>
          <w:lang w:val="en-GB" w:eastAsia="sk-SK"/>
        </w:rPr>
      </w:pPr>
      <w:bookmarkStart w:id="10" w:name="_Toc408410936"/>
      <w:bookmarkStart w:id="11" w:name="_Toc408495701"/>
      <w:bookmarkStart w:id="12" w:name="_Toc409431198"/>
      <w:r w:rsidRPr="00344354">
        <w:rPr>
          <w:rFonts w:ascii="Arial" w:eastAsia="Times New Roman" w:hAnsi="Arial" w:cs="Times New Roman"/>
          <w:b/>
          <w:sz w:val="24"/>
          <w:szCs w:val="24"/>
          <w:lang w:val="en-GB" w:eastAsia="sk-SK"/>
        </w:rPr>
        <w:lastRenderedPageBreak/>
        <w:t>Appeals</w:t>
      </w:r>
      <w:bookmarkEnd w:id="10"/>
      <w:bookmarkEnd w:id="11"/>
      <w:bookmarkEnd w:id="12"/>
    </w:p>
    <w:p w14:paraId="69177B6B"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Appeals should not be pursued through the organisation’s grievance procedure but should instead be made directly to the head of organisation. Where a final decision within the organisation is contested, or where the matter becomes a collective issue between management and a trade union, then appeals should be made via an external body such as the ACAS.</w:t>
      </w:r>
    </w:p>
    <w:p w14:paraId="44E6A843" w14:textId="77777777" w:rsidR="00344354" w:rsidRPr="00344354" w:rsidRDefault="00344354" w:rsidP="00093612">
      <w:pPr>
        <w:spacing w:after="200"/>
        <w:jc w:val="both"/>
        <w:rPr>
          <w:rFonts w:ascii="Arial" w:eastAsia="Times New Roman" w:hAnsi="Arial" w:cs="Times New Roman"/>
          <w:b/>
          <w:sz w:val="24"/>
          <w:szCs w:val="24"/>
          <w:lang w:val="en-GB" w:eastAsia="sk-SK"/>
        </w:rPr>
      </w:pPr>
      <w:bookmarkStart w:id="13" w:name="_Toc408410937"/>
      <w:bookmarkStart w:id="14" w:name="_Toc408495702"/>
      <w:bookmarkStart w:id="15" w:name="_Toc409431199"/>
      <w:r w:rsidRPr="00344354">
        <w:rPr>
          <w:rFonts w:ascii="Arial" w:eastAsia="Times New Roman" w:hAnsi="Arial" w:cs="Times New Roman"/>
          <w:b/>
          <w:sz w:val="24"/>
          <w:szCs w:val="24"/>
          <w:lang w:val="en-GB" w:eastAsia="sk-SK"/>
        </w:rPr>
        <w:t>Records</w:t>
      </w:r>
      <w:bookmarkEnd w:id="13"/>
      <w:bookmarkEnd w:id="14"/>
      <w:bookmarkEnd w:id="15"/>
    </w:p>
    <w:p w14:paraId="5FD1FDDC" w14:textId="77777777" w:rsidR="00344354"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Records will be kept in the employee’s personnel file that detail the nature of any breach of disciplinary rules, the action taken and the reasons for it, whether an appeal was lodged, its outcome and any subsequent developments. These records will be carefully safeguarded and kept confidential.</w:t>
      </w:r>
    </w:p>
    <w:p w14:paraId="78BB370B" w14:textId="5A175E27" w:rsidR="00741927" w:rsidRPr="00344354" w:rsidRDefault="00344354" w:rsidP="00093612">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The company disciplinary policy should be included in the induction training for all new staff.</w:t>
      </w:r>
    </w:p>
    <w:p w14:paraId="6D58605D" w14:textId="534ACA0A"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16" w:name="_Hlk527965528"/>
      <w:bookmarkStart w:id="17" w:name="_Hlk527548380"/>
      <w:r w:rsidRPr="002E7BED">
        <w:rPr>
          <w:rFonts w:ascii="Arial" w:eastAsia="HGGothicM" w:hAnsi="Arial" w:cs="Arial"/>
          <w:b/>
          <w:bCs/>
          <w:color w:val="365F91" w:themeColor="accent1" w:themeShade="BF"/>
          <w:sz w:val="24"/>
          <w:szCs w:val="24"/>
          <w:lang w:bidi="en-US"/>
        </w:rPr>
        <w:t>Related Policies</w:t>
      </w:r>
      <w:r w:rsidR="002A1DEB">
        <w:rPr>
          <w:rFonts w:ascii="Arial" w:eastAsia="HGGothicM" w:hAnsi="Arial" w:cs="Arial"/>
          <w:b/>
          <w:bCs/>
          <w:color w:val="365F91" w:themeColor="accent1" w:themeShade="BF"/>
          <w:sz w:val="24"/>
          <w:szCs w:val="24"/>
          <w:lang w:bidi="en-US"/>
        </w:rPr>
        <w:t xml:space="preserve"> </w:t>
      </w:r>
    </w:p>
    <w:p w14:paraId="3D1080E0" w14:textId="77777777" w:rsidR="00344354" w:rsidRPr="00344354" w:rsidRDefault="00344354" w:rsidP="00344354">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Appraisal</w:t>
      </w:r>
    </w:p>
    <w:p w14:paraId="3D2CE200" w14:textId="77777777" w:rsidR="00344354" w:rsidRPr="00344354" w:rsidRDefault="00344354" w:rsidP="00344354">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Code of Conduct for Workers</w:t>
      </w:r>
    </w:p>
    <w:p w14:paraId="20676DCE" w14:textId="77777777" w:rsidR="00344354" w:rsidRPr="00344354" w:rsidRDefault="00344354" w:rsidP="00344354">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Grievance (Staff)</w:t>
      </w:r>
    </w:p>
    <w:p w14:paraId="7735D2C6" w14:textId="547612EC" w:rsidR="00741927" w:rsidRPr="00344354" w:rsidRDefault="00344354" w:rsidP="00344354">
      <w:pPr>
        <w:spacing w:before="100" w:beforeAutospacing="1" w:after="100" w:afterAutospacing="1" w:line="240" w:lineRule="auto"/>
        <w:jc w:val="both"/>
        <w:rPr>
          <w:rFonts w:ascii="Arial" w:eastAsia="Times New Roman" w:hAnsi="Arial" w:cs="Arial"/>
          <w:sz w:val="24"/>
          <w:szCs w:val="24"/>
          <w:lang w:val="en-GB" w:eastAsia="sk-SK"/>
        </w:rPr>
      </w:pPr>
      <w:r w:rsidRPr="00344354">
        <w:rPr>
          <w:rFonts w:ascii="Arial" w:eastAsia="Times New Roman" w:hAnsi="Arial" w:cs="Arial"/>
          <w:sz w:val="24"/>
          <w:szCs w:val="24"/>
          <w:lang w:val="en-GB" w:eastAsia="sk-SK"/>
        </w:rPr>
        <w:t>Supervision</w:t>
      </w:r>
    </w:p>
    <w:bookmarkEnd w:id="16"/>
    <w:bookmarkEnd w:id="17"/>
    <w:p w14:paraId="700ED778" w14:textId="25FA9CB2" w:rsidR="008D1332" w:rsidRDefault="008D1332" w:rsidP="008D1332">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1A5A2279" w14:textId="77777777" w:rsidR="0075503E" w:rsidRDefault="0075503E" w:rsidP="008D1332">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2DFE269F" w14:textId="77777777" w:rsidR="00A66F15" w:rsidRPr="00004B0D" w:rsidRDefault="00A66F15" w:rsidP="0075503E">
      <w:pPr>
        <w:pStyle w:val="ListParagraph"/>
        <w:keepNext/>
        <w:keepLines/>
        <w:numPr>
          <w:ilvl w:val="0"/>
          <w:numId w:val="132"/>
        </w:numPr>
        <w:spacing w:after="0" w:line="240" w:lineRule="auto"/>
        <w:outlineLvl w:val="0"/>
        <w:rPr>
          <w:rFonts w:ascii="Arial" w:eastAsia="HGGothicM" w:hAnsi="Arial" w:cs="Arial"/>
          <w:b/>
          <w:bCs/>
          <w:color w:val="365F91" w:themeColor="accent1" w:themeShade="BF"/>
          <w:sz w:val="24"/>
          <w:szCs w:val="24"/>
          <w:lang w:bidi="en-US"/>
        </w:rPr>
      </w:pPr>
      <w:r w:rsidRPr="00A54FD4">
        <w:rPr>
          <w:rFonts w:ascii="Arial" w:eastAsia="HGGothicM" w:hAnsi="Arial" w:cs="Arial"/>
          <w:bCs/>
          <w:sz w:val="24"/>
          <w:szCs w:val="24"/>
          <w:lang w:bidi="en-US"/>
        </w:rPr>
        <w:t xml:space="preserve">ACAS Code of Practice </w:t>
      </w:r>
      <w:hyperlink r:id="rId13" w:history="1">
        <w:r w:rsidRPr="00004B0D">
          <w:rPr>
            <w:rStyle w:val="Hyperlink"/>
            <w:rFonts w:ascii="Arial" w:eastAsia="HGGothicM" w:hAnsi="Arial" w:cs="Arial"/>
            <w:bCs/>
            <w:sz w:val="24"/>
            <w:szCs w:val="24"/>
            <w:lang w:bidi="en-US"/>
          </w:rPr>
          <w:t>http://www.acas.org.uk/index.aspx?articleid=2174</w:t>
        </w:r>
      </w:hyperlink>
      <w:r>
        <w:rPr>
          <w:rFonts w:ascii="Arial" w:eastAsia="HGGothicM" w:hAnsi="Arial" w:cs="Arial"/>
          <w:bCs/>
          <w:color w:val="FF0000"/>
          <w:sz w:val="24"/>
          <w:szCs w:val="24"/>
          <w:lang w:bidi="en-US"/>
        </w:rPr>
        <w:t xml:space="preserve"> </w:t>
      </w:r>
    </w:p>
    <w:p w14:paraId="0A1C6DAB" w14:textId="77777777" w:rsidR="00A66F15" w:rsidRPr="00004B0D" w:rsidRDefault="00A66F15" w:rsidP="0075503E">
      <w:pPr>
        <w:pStyle w:val="ListParagraph"/>
        <w:rPr>
          <w:rFonts w:ascii="Arial" w:eastAsia="HGGothicM" w:hAnsi="Arial" w:cs="Arial"/>
          <w:b/>
          <w:bCs/>
          <w:color w:val="365F91" w:themeColor="accent1" w:themeShade="BF"/>
          <w:sz w:val="24"/>
          <w:szCs w:val="24"/>
          <w:lang w:bidi="en-US"/>
        </w:rPr>
      </w:pPr>
    </w:p>
    <w:p w14:paraId="21435EAE" w14:textId="0072B43E" w:rsidR="00A66F15" w:rsidRPr="009274BE" w:rsidRDefault="00A66F15" w:rsidP="0075503E">
      <w:pPr>
        <w:pStyle w:val="ListParagraph"/>
        <w:keepNext/>
        <w:keepLines/>
        <w:numPr>
          <w:ilvl w:val="0"/>
          <w:numId w:val="132"/>
        </w:numPr>
        <w:spacing w:after="0" w:line="240" w:lineRule="auto"/>
        <w:outlineLvl w:val="0"/>
        <w:rPr>
          <w:rFonts w:ascii="Arial" w:eastAsia="HGGothicM" w:hAnsi="Arial" w:cs="Arial"/>
          <w:bCs/>
          <w:sz w:val="24"/>
          <w:szCs w:val="24"/>
          <w:lang w:bidi="en-US"/>
        </w:rPr>
      </w:pPr>
      <w:r w:rsidRPr="009274BE">
        <w:rPr>
          <w:rFonts w:ascii="Arial" w:hAnsi="Arial" w:cs="Arial"/>
          <w:sz w:val="24"/>
          <w:szCs w:val="24"/>
        </w:rPr>
        <w:t>A</w:t>
      </w:r>
      <w:r w:rsidR="0075503E" w:rsidRPr="009274BE">
        <w:rPr>
          <w:rFonts w:ascii="Arial" w:hAnsi="Arial" w:cs="Arial"/>
          <w:sz w:val="24"/>
          <w:szCs w:val="24"/>
        </w:rPr>
        <w:t>CAS</w:t>
      </w:r>
      <w:r w:rsidRPr="009274BE">
        <w:rPr>
          <w:rFonts w:ascii="Arial" w:hAnsi="Arial" w:cs="Arial"/>
          <w:sz w:val="24"/>
          <w:szCs w:val="24"/>
        </w:rPr>
        <w:t xml:space="preserve"> </w:t>
      </w:r>
      <w:bookmarkStart w:id="18" w:name="_Hlk39151432"/>
      <w:r w:rsidRPr="009274BE">
        <w:rPr>
          <w:rFonts w:ascii="Arial" w:hAnsi="Arial" w:cs="Arial"/>
          <w:sz w:val="24"/>
          <w:szCs w:val="24"/>
        </w:rPr>
        <w:t xml:space="preserve">Discipline and Grievance at Work </w:t>
      </w:r>
      <w:bookmarkEnd w:id="18"/>
      <w:r w:rsidR="0075503E" w:rsidRPr="009274BE">
        <w:fldChar w:fldCharType="begin"/>
      </w:r>
      <w:r w:rsidR="0075503E" w:rsidRPr="009274BE">
        <w:instrText xml:space="preserve"> HYPERLINK "https://archive.acas.org.uk/media/1043/Discipline-and-grievances-at-work-The-Acas-guide/pdf/DG_Guide_Feb_2019.pdf" </w:instrText>
      </w:r>
      <w:r w:rsidR="0075503E" w:rsidRPr="009274BE">
        <w:fldChar w:fldCharType="separate"/>
      </w:r>
      <w:r w:rsidRPr="009274BE">
        <w:rPr>
          <w:rStyle w:val="Hyperlink"/>
          <w:rFonts w:ascii="Arial" w:hAnsi="Arial" w:cs="Arial"/>
          <w:color w:val="auto"/>
          <w:sz w:val="24"/>
          <w:szCs w:val="24"/>
        </w:rPr>
        <w:t>https://archive.acas.org.uk/media/1043/Discipline-and-grievances-at-work-The-Acas-guide/pdf/DG_Guide_Feb_2019.pdf</w:t>
      </w:r>
      <w:r w:rsidR="0075503E" w:rsidRPr="009274BE">
        <w:rPr>
          <w:rStyle w:val="Hyperlink"/>
          <w:rFonts w:ascii="Arial" w:hAnsi="Arial" w:cs="Arial"/>
          <w:color w:val="auto"/>
          <w:sz w:val="24"/>
          <w:szCs w:val="24"/>
        </w:rPr>
        <w:fldChar w:fldCharType="end"/>
      </w:r>
    </w:p>
    <w:p w14:paraId="3605CC72" w14:textId="77777777" w:rsidR="00A66F15" w:rsidRPr="00A66F15" w:rsidRDefault="00A66F15" w:rsidP="00A66F15">
      <w:pPr>
        <w:pStyle w:val="ListParagraph"/>
        <w:keepNext/>
        <w:keepLines/>
        <w:spacing w:before="360" w:after="0" w:line="240" w:lineRule="auto"/>
        <w:outlineLvl w:val="0"/>
        <w:rPr>
          <w:rFonts w:ascii="Arial" w:eastAsia="HGGothicM" w:hAnsi="Arial" w:cs="Arial"/>
          <w:bCs/>
          <w:color w:val="365F91" w:themeColor="accent1" w:themeShade="BF"/>
          <w:sz w:val="24"/>
          <w:szCs w:val="24"/>
          <w:lang w:bidi="en-US"/>
        </w:rPr>
      </w:pPr>
    </w:p>
    <w:p w14:paraId="046CFEC0" w14:textId="37DAB5FB" w:rsidR="008D1332" w:rsidRDefault="008D1332" w:rsidP="0075503E">
      <w:pPr>
        <w:pStyle w:val="ListParagraph"/>
        <w:keepNext/>
        <w:keepLines/>
        <w:numPr>
          <w:ilvl w:val="0"/>
          <w:numId w:val="132"/>
        </w:numPr>
        <w:spacing w:after="0" w:line="240" w:lineRule="auto"/>
        <w:outlineLvl w:val="0"/>
        <w:rPr>
          <w:rFonts w:ascii="Arial" w:eastAsia="HGGothicM" w:hAnsi="Arial" w:cs="Arial"/>
          <w:bCs/>
          <w:color w:val="365F91" w:themeColor="accent1" w:themeShade="BF"/>
          <w:sz w:val="24"/>
          <w:szCs w:val="24"/>
          <w:lang w:bidi="en-US"/>
        </w:rPr>
      </w:pPr>
      <w:r w:rsidRPr="00A54FD4">
        <w:rPr>
          <w:rFonts w:ascii="Arial" w:eastAsia="HGGothicM" w:hAnsi="Arial" w:cs="Arial"/>
          <w:bCs/>
          <w:sz w:val="24"/>
          <w:szCs w:val="24"/>
          <w:lang w:bidi="en-US"/>
        </w:rPr>
        <w:t xml:space="preserve">Disciplinary procedures and action against you at work </w:t>
      </w:r>
      <w:hyperlink r:id="rId14" w:history="1">
        <w:r w:rsidRPr="00004B0D">
          <w:rPr>
            <w:rStyle w:val="Hyperlink"/>
            <w:rFonts w:ascii="Arial" w:eastAsia="HGGothicM" w:hAnsi="Arial" w:cs="Arial"/>
            <w:bCs/>
            <w:sz w:val="24"/>
            <w:szCs w:val="24"/>
            <w:lang w:bidi="en-US"/>
          </w:rPr>
          <w:t>https://www.gov.uk/disciplinary-procedures-and-action-at-work</w:t>
        </w:r>
      </w:hyperlink>
      <w:r w:rsidRPr="00004B0D">
        <w:rPr>
          <w:rFonts w:ascii="Arial" w:eastAsia="HGGothicM" w:hAnsi="Arial" w:cs="Arial"/>
          <w:bCs/>
          <w:color w:val="365F91" w:themeColor="accent1" w:themeShade="BF"/>
          <w:sz w:val="24"/>
          <w:szCs w:val="24"/>
          <w:lang w:bidi="en-US"/>
        </w:rPr>
        <w:t xml:space="preserve"> </w:t>
      </w:r>
    </w:p>
    <w:p w14:paraId="565ABBE1" w14:textId="77777777" w:rsidR="0075503E" w:rsidRPr="0075503E" w:rsidRDefault="0075503E" w:rsidP="0075503E">
      <w:pPr>
        <w:pStyle w:val="ListParagraph"/>
        <w:rPr>
          <w:rFonts w:ascii="Arial" w:eastAsia="HGGothicM" w:hAnsi="Arial" w:cs="Arial"/>
          <w:bCs/>
          <w:color w:val="365F91" w:themeColor="accent1" w:themeShade="BF"/>
          <w:sz w:val="24"/>
          <w:szCs w:val="24"/>
          <w:lang w:bidi="en-US"/>
        </w:rPr>
      </w:pPr>
    </w:p>
    <w:p w14:paraId="1B0C41C1" w14:textId="77777777" w:rsidR="0075503E" w:rsidRPr="009274BE" w:rsidRDefault="0075503E" w:rsidP="0075503E">
      <w:pPr>
        <w:pStyle w:val="ListParagraph"/>
        <w:keepNext/>
        <w:keepLines/>
        <w:numPr>
          <w:ilvl w:val="0"/>
          <w:numId w:val="134"/>
        </w:numPr>
        <w:spacing w:after="0" w:line="240" w:lineRule="auto"/>
        <w:outlineLvl w:val="0"/>
        <w:rPr>
          <w:rFonts w:ascii="Arial" w:eastAsia="HGGothicM" w:hAnsi="Arial" w:cs="Arial"/>
          <w:b/>
          <w:bCs/>
          <w:sz w:val="24"/>
          <w:szCs w:val="24"/>
          <w:lang w:bidi="en-US"/>
        </w:rPr>
      </w:pPr>
      <w:bookmarkStart w:id="19" w:name="_Hlk39640840"/>
      <w:r w:rsidRPr="009274BE">
        <w:rPr>
          <w:rFonts w:ascii="Arial" w:hAnsi="Arial" w:cs="Arial"/>
          <w:sz w:val="24"/>
          <w:szCs w:val="24"/>
        </w:rPr>
        <w:lastRenderedPageBreak/>
        <w:t xml:space="preserve">ACAS Example discipline and grievance procedures </w:t>
      </w:r>
      <w:hyperlink r:id="rId15" w:history="1">
        <w:r w:rsidRPr="009274BE">
          <w:rPr>
            <w:rStyle w:val="Hyperlink"/>
            <w:rFonts w:ascii="Arial" w:hAnsi="Arial" w:cs="Arial"/>
            <w:color w:val="auto"/>
            <w:sz w:val="24"/>
            <w:szCs w:val="24"/>
          </w:rPr>
          <w:t>https://www.ac</w:t>
        </w:r>
        <w:r w:rsidRPr="009274BE">
          <w:rPr>
            <w:rStyle w:val="Hyperlink"/>
            <w:rFonts w:ascii="Arial" w:hAnsi="Arial" w:cs="Arial"/>
            <w:color w:val="auto"/>
            <w:sz w:val="24"/>
            <w:szCs w:val="24"/>
          </w:rPr>
          <w:t>a</w:t>
        </w:r>
        <w:r w:rsidRPr="009274BE">
          <w:rPr>
            <w:rStyle w:val="Hyperlink"/>
            <w:rFonts w:ascii="Arial" w:hAnsi="Arial" w:cs="Arial"/>
            <w:color w:val="auto"/>
            <w:sz w:val="24"/>
            <w:szCs w:val="24"/>
          </w:rPr>
          <w:t>s.org.uk/example-discipline-and-grievance-procedures</w:t>
        </w:r>
      </w:hyperlink>
      <w:bookmarkEnd w:id="19"/>
      <w:r w:rsidRPr="009274BE">
        <w:rPr>
          <w:rFonts w:ascii="Arial" w:hAnsi="Arial" w:cs="Arial"/>
          <w:sz w:val="24"/>
          <w:szCs w:val="24"/>
        </w:rPr>
        <w:t xml:space="preserve">  </w:t>
      </w:r>
    </w:p>
    <w:p w14:paraId="40434A87" w14:textId="77777777" w:rsidR="0075503E" w:rsidRDefault="0075503E" w:rsidP="0075503E">
      <w:pPr>
        <w:pStyle w:val="ListParagraph"/>
        <w:keepNext/>
        <w:keepLines/>
        <w:spacing w:after="0" w:line="240" w:lineRule="auto"/>
        <w:outlineLvl w:val="0"/>
        <w:rPr>
          <w:rFonts w:ascii="Arial" w:eastAsia="HGGothicM" w:hAnsi="Arial" w:cs="Arial"/>
          <w:b/>
          <w:bCs/>
          <w:color w:val="365F91" w:themeColor="accent1" w:themeShade="BF"/>
          <w:sz w:val="24"/>
          <w:szCs w:val="24"/>
          <w:lang w:bidi="en-US"/>
        </w:rPr>
      </w:pPr>
    </w:p>
    <w:p w14:paraId="6977B7E1" w14:textId="5C191031" w:rsidR="00A66F15" w:rsidRPr="0075503E" w:rsidRDefault="008D1332" w:rsidP="0075503E">
      <w:pPr>
        <w:pStyle w:val="ListParagraph"/>
        <w:keepNext/>
        <w:keepLines/>
        <w:numPr>
          <w:ilvl w:val="0"/>
          <w:numId w:val="132"/>
        </w:numPr>
        <w:spacing w:after="0" w:line="240" w:lineRule="auto"/>
        <w:outlineLvl w:val="0"/>
        <w:rPr>
          <w:rFonts w:ascii="Arial" w:eastAsia="HGGothicM" w:hAnsi="Arial" w:cs="Arial"/>
          <w:bCs/>
          <w:sz w:val="24"/>
          <w:szCs w:val="24"/>
          <w:lang w:bidi="en-US"/>
        </w:rPr>
      </w:pPr>
      <w:r w:rsidRPr="00A54FD4">
        <w:rPr>
          <w:rFonts w:ascii="Arial" w:eastAsia="HGGothicM" w:hAnsi="Arial" w:cs="Arial"/>
          <w:bCs/>
          <w:sz w:val="24"/>
          <w:szCs w:val="24"/>
          <w:lang w:bidi="en-US"/>
        </w:rPr>
        <w:t>Employee handbook</w:t>
      </w:r>
    </w:p>
    <w:p w14:paraId="142C579C" w14:textId="77777777" w:rsidR="009274BE" w:rsidRDefault="009274BE" w:rsidP="008D1332">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22C7A9A3" w14:textId="5962C9F2" w:rsidR="008D1332" w:rsidRDefault="008D1332" w:rsidP="008D1332">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20" w:name="_GoBack"/>
      <w:bookmarkEnd w:id="20"/>
      <w:r>
        <w:rPr>
          <w:rFonts w:ascii="Arial" w:eastAsia="HGGothicM" w:hAnsi="Arial" w:cs="Arial"/>
          <w:b/>
          <w:bCs/>
          <w:color w:val="365F91" w:themeColor="accent1" w:themeShade="BF"/>
          <w:sz w:val="24"/>
          <w:szCs w:val="24"/>
          <w:lang w:bidi="en-US"/>
        </w:rPr>
        <w:t>Training Statement</w:t>
      </w:r>
    </w:p>
    <w:p w14:paraId="60C39666" w14:textId="77777777" w:rsidR="008D1332" w:rsidRDefault="008D1332" w:rsidP="008D1332">
      <w:pPr>
        <w:rPr>
          <w:rFonts w:ascii="Arial" w:hAnsi="Arial" w:cs="Arial"/>
          <w:sz w:val="24"/>
          <w:szCs w:val="24"/>
        </w:rPr>
      </w:pPr>
    </w:p>
    <w:p w14:paraId="21F1BA4C" w14:textId="7812C60F" w:rsidR="00C65EEA" w:rsidRPr="00213EAC" w:rsidRDefault="008D1332" w:rsidP="009274BE">
      <w:pPr>
        <w:keepNext/>
        <w:keepLines/>
        <w:spacing w:before="360" w:after="0" w:line="240" w:lineRule="auto"/>
        <w:jc w:val="both"/>
        <w:outlineLvl w:val="0"/>
        <w:rPr>
          <w:rFonts w:ascii="Arial" w:eastAsia="Calibri" w:hAnsi="Arial" w:cs="Arial"/>
          <w:sz w:val="24"/>
          <w:szCs w:val="24"/>
          <w:lang w:val="en-GB"/>
        </w:rPr>
      </w:pPr>
      <w:r w:rsidRPr="00A54FD4">
        <w:rPr>
          <w:rFonts w:ascii="Arial" w:eastAsia="Times New Roman" w:hAnsi="Arial" w:cs="Arial"/>
          <w:sz w:val="24"/>
          <w:szCs w:val="24"/>
          <w:lang w:val="en-GB" w:eastAsia="sk-SK"/>
        </w:rPr>
        <w:t>The company disciplinary policy should be included in the induction training for all new staff.</w:t>
      </w:r>
      <w:bookmarkStart w:id="21" w:name="_Hlk529282654"/>
      <w:bookmarkStart w:id="22" w:name="_Hlk530659104"/>
      <w:r w:rsidRPr="00A54FD4">
        <w:rPr>
          <w:rFonts w:ascii="Arial" w:eastAsia="HGGothicM" w:hAnsi="Arial" w:cs="Arial"/>
          <w:bCs/>
          <w:sz w:val="24"/>
          <w:szCs w:val="24"/>
          <w:lang w:eastAsia="en-GB"/>
        </w:rPr>
        <w:t xml:space="preserve"> 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A54FD4">
        <w:rPr>
          <w:rFonts w:ascii="Arial" w:eastAsia="HGGothicM" w:hAnsi="Arial" w:cs="Arial"/>
          <w:b/>
          <w:bCs/>
          <w:sz w:val="24"/>
          <w:szCs w:val="24"/>
          <w:lang w:eastAsia="en-GB"/>
        </w:rPr>
        <w:t xml:space="preserve"> </w:t>
      </w:r>
      <w:bookmarkStart w:id="23" w:name="DisciplinaryInput1"/>
      <w:bookmarkStart w:id="24" w:name="_Hlk527038464"/>
      <w:bookmarkEnd w:id="23"/>
      <w:bookmarkEnd w:id="21"/>
      <w:bookmarkEnd w:id="22"/>
    </w:p>
    <w:bookmarkEnd w:id="24"/>
    <w:p w14:paraId="5CC23AE6" w14:textId="5EFF2677" w:rsidR="00B7150E" w:rsidRPr="00213EAC" w:rsidRDefault="00B7150E">
      <w:pPr>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A3FF" w14:textId="77777777" w:rsidR="004937DE" w:rsidRDefault="004937DE" w:rsidP="00815DED">
      <w:pPr>
        <w:spacing w:after="0" w:line="240" w:lineRule="auto"/>
      </w:pPr>
      <w:r>
        <w:separator/>
      </w:r>
    </w:p>
  </w:endnote>
  <w:endnote w:type="continuationSeparator" w:id="0">
    <w:p w14:paraId="3BA19640" w14:textId="77777777" w:rsidR="004937DE" w:rsidRDefault="004937DE"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41FF" w14:textId="77777777" w:rsidR="004937DE" w:rsidRDefault="004937DE" w:rsidP="00815DED">
      <w:pPr>
        <w:spacing w:after="0" w:line="240" w:lineRule="auto"/>
      </w:pPr>
      <w:r>
        <w:separator/>
      </w:r>
    </w:p>
  </w:footnote>
  <w:footnote w:type="continuationSeparator" w:id="0">
    <w:p w14:paraId="07B026E5" w14:textId="77777777" w:rsidR="004937DE" w:rsidRDefault="004937DE"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1"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69"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4EE209A"/>
    <w:multiLevelType w:val="hybridMultilevel"/>
    <w:tmpl w:val="6340E36C"/>
    <w:lvl w:ilvl="0" w:tplc="3828DA6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3" w15:restartNumberingAfterBreak="0">
    <w:nsid w:val="4D4F198B"/>
    <w:multiLevelType w:val="hybridMultilevel"/>
    <w:tmpl w:val="D31C93D8"/>
    <w:lvl w:ilvl="0" w:tplc="51FCBD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4DF97CBE"/>
    <w:multiLevelType w:val="multilevel"/>
    <w:tmpl w:val="C994C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6CD4F24"/>
    <w:multiLevelType w:val="hybridMultilevel"/>
    <w:tmpl w:val="9D822E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5"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6"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15"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17"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6"/>
  </w:num>
  <w:num w:numId="3">
    <w:abstractNumId w:val="117"/>
  </w:num>
  <w:num w:numId="4">
    <w:abstractNumId w:val="101"/>
  </w:num>
  <w:num w:numId="5">
    <w:abstractNumId w:val="107"/>
  </w:num>
  <w:num w:numId="6">
    <w:abstractNumId w:val="85"/>
  </w:num>
  <w:num w:numId="7">
    <w:abstractNumId w:val="115"/>
  </w:num>
  <w:num w:numId="8">
    <w:abstractNumId w:val="108"/>
  </w:num>
  <w:num w:numId="9">
    <w:abstractNumId w:val="2"/>
  </w:num>
  <w:num w:numId="10">
    <w:abstractNumId w:val="20"/>
  </w:num>
  <w:num w:numId="11">
    <w:abstractNumId w:val="110"/>
  </w:num>
  <w:num w:numId="12">
    <w:abstractNumId w:val="132"/>
  </w:num>
  <w:num w:numId="13">
    <w:abstractNumId w:val="70"/>
  </w:num>
  <w:num w:numId="14">
    <w:abstractNumId w:val="124"/>
  </w:num>
  <w:num w:numId="15">
    <w:abstractNumId w:val="103"/>
  </w:num>
  <w:num w:numId="16">
    <w:abstractNumId w:val="91"/>
  </w:num>
  <w:num w:numId="17">
    <w:abstractNumId w:val="58"/>
  </w:num>
  <w:num w:numId="18">
    <w:abstractNumId w:val="102"/>
  </w:num>
  <w:num w:numId="19">
    <w:abstractNumId w:val="62"/>
  </w:num>
  <w:num w:numId="20">
    <w:abstractNumId w:val="14"/>
  </w:num>
  <w:num w:numId="21">
    <w:abstractNumId w:val="8"/>
  </w:num>
  <w:num w:numId="22">
    <w:abstractNumId w:val="133"/>
  </w:num>
  <w:num w:numId="23">
    <w:abstractNumId w:val="38"/>
  </w:num>
  <w:num w:numId="24">
    <w:abstractNumId w:val="77"/>
  </w:num>
  <w:num w:numId="25">
    <w:abstractNumId w:val="72"/>
  </w:num>
  <w:num w:numId="26">
    <w:abstractNumId w:val="26"/>
  </w:num>
  <w:num w:numId="27">
    <w:abstractNumId w:val="96"/>
  </w:num>
  <w:num w:numId="28">
    <w:abstractNumId w:val="74"/>
  </w:num>
  <w:num w:numId="29">
    <w:abstractNumId w:val="99"/>
  </w:num>
  <w:num w:numId="30">
    <w:abstractNumId w:val="35"/>
  </w:num>
  <w:num w:numId="31">
    <w:abstractNumId w:val="16"/>
  </w:num>
  <w:num w:numId="32">
    <w:abstractNumId w:val="10"/>
  </w:num>
  <w:num w:numId="33">
    <w:abstractNumId w:val="90"/>
  </w:num>
  <w:num w:numId="34">
    <w:abstractNumId w:val="79"/>
  </w:num>
  <w:num w:numId="35">
    <w:abstractNumId w:val="95"/>
  </w:num>
  <w:num w:numId="36">
    <w:abstractNumId w:val="29"/>
  </w:num>
  <w:num w:numId="37">
    <w:abstractNumId w:val="111"/>
  </w:num>
  <w:num w:numId="38">
    <w:abstractNumId w:val="64"/>
  </w:num>
  <w:num w:numId="39">
    <w:abstractNumId w:val="21"/>
  </w:num>
  <w:num w:numId="40">
    <w:abstractNumId w:val="130"/>
  </w:num>
  <w:num w:numId="41">
    <w:abstractNumId w:val="63"/>
  </w:num>
  <w:num w:numId="42">
    <w:abstractNumId w:val="30"/>
  </w:num>
  <w:num w:numId="43">
    <w:abstractNumId w:val="123"/>
  </w:num>
  <w:num w:numId="44">
    <w:abstractNumId w:val="7"/>
  </w:num>
  <w:num w:numId="45">
    <w:abstractNumId w:val="19"/>
  </w:num>
  <w:num w:numId="46">
    <w:abstractNumId w:val="40"/>
  </w:num>
  <w:num w:numId="47">
    <w:abstractNumId w:val="122"/>
  </w:num>
  <w:num w:numId="48">
    <w:abstractNumId w:val="18"/>
  </w:num>
  <w:num w:numId="49">
    <w:abstractNumId w:val="100"/>
  </w:num>
  <w:num w:numId="50">
    <w:abstractNumId w:val="42"/>
  </w:num>
  <w:num w:numId="51">
    <w:abstractNumId w:val="43"/>
  </w:num>
  <w:num w:numId="52">
    <w:abstractNumId w:val="50"/>
  </w:num>
  <w:num w:numId="53">
    <w:abstractNumId w:val="37"/>
  </w:num>
  <w:num w:numId="54">
    <w:abstractNumId w:val="15"/>
  </w:num>
  <w:num w:numId="55">
    <w:abstractNumId w:val="9"/>
  </w:num>
  <w:num w:numId="56">
    <w:abstractNumId w:val="24"/>
  </w:num>
  <w:num w:numId="57">
    <w:abstractNumId w:val="11"/>
  </w:num>
  <w:num w:numId="58">
    <w:abstractNumId w:val="53"/>
  </w:num>
  <w:num w:numId="59">
    <w:abstractNumId w:val="55"/>
  </w:num>
  <w:num w:numId="60">
    <w:abstractNumId w:val="23"/>
  </w:num>
  <w:num w:numId="61">
    <w:abstractNumId w:val="52"/>
  </w:num>
  <w:num w:numId="62">
    <w:abstractNumId w:val="41"/>
  </w:num>
  <w:num w:numId="63">
    <w:abstractNumId w:val="129"/>
  </w:num>
  <w:num w:numId="64">
    <w:abstractNumId w:val="104"/>
  </w:num>
  <w:num w:numId="65">
    <w:abstractNumId w:val="121"/>
  </w:num>
  <w:num w:numId="66">
    <w:abstractNumId w:val="56"/>
  </w:num>
  <w:num w:numId="67">
    <w:abstractNumId w:val="68"/>
  </w:num>
  <w:num w:numId="68">
    <w:abstractNumId w:val="114"/>
  </w:num>
  <w:num w:numId="69">
    <w:abstractNumId w:val="94"/>
  </w:num>
  <w:num w:numId="70">
    <w:abstractNumId w:val="106"/>
  </w:num>
  <w:num w:numId="71">
    <w:abstractNumId w:val="81"/>
  </w:num>
  <w:num w:numId="72">
    <w:abstractNumId w:val="49"/>
  </w:num>
  <w:num w:numId="73">
    <w:abstractNumId w:val="92"/>
  </w:num>
  <w:num w:numId="74">
    <w:abstractNumId w:val="46"/>
  </w:num>
  <w:num w:numId="75">
    <w:abstractNumId w:val="60"/>
  </w:num>
  <w:num w:numId="76">
    <w:abstractNumId w:val="61"/>
  </w:num>
  <w:num w:numId="77">
    <w:abstractNumId w:val="109"/>
  </w:num>
  <w:num w:numId="78">
    <w:abstractNumId w:val="27"/>
  </w:num>
  <w:num w:numId="79">
    <w:abstractNumId w:val="59"/>
  </w:num>
  <w:num w:numId="80">
    <w:abstractNumId w:val="25"/>
  </w:num>
  <w:num w:numId="81">
    <w:abstractNumId w:val="113"/>
  </w:num>
  <w:num w:numId="82">
    <w:abstractNumId w:val="125"/>
  </w:num>
  <w:num w:numId="83">
    <w:abstractNumId w:val="34"/>
  </w:num>
  <w:num w:numId="84">
    <w:abstractNumId w:val="45"/>
  </w:num>
  <w:num w:numId="85">
    <w:abstractNumId w:val="57"/>
  </w:num>
  <w:num w:numId="86">
    <w:abstractNumId w:val="31"/>
  </w:num>
  <w:num w:numId="87">
    <w:abstractNumId w:val="65"/>
  </w:num>
  <w:num w:numId="88">
    <w:abstractNumId w:val="4"/>
  </w:num>
  <w:num w:numId="89">
    <w:abstractNumId w:val="32"/>
  </w:num>
  <w:num w:numId="90">
    <w:abstractNumId w:val="12"/>
  </w:num>
  <w:num w:numId="91">
    <w:abstractNumId w:val="6"/>
  </w:num>
  <w:num w:numId="92">
    <w:abstractNumId w:val="17"/>
  </w:num>
  <w:num w:numId="93">
    <w:abstractNumId w:val="73"/>
  </w:num>
  <w:num w:numId="94">
    <w:abstractNumId w:val="47"/>
  </w:num>
  <w:num w:numId="95">
    <w:abstractNumId w:val="44"/>
  </w:num>
  <w:num w:numId="96">
    <w:abstractNumId w:val="78"/>
  </w:num>
  <w:num w:numId="97">
    <w:abstractNumId w:val="128"/>
  </w:num>
  <w:num w:numId="98">
    <w:abstractNumId w:val="54"/>
  </w:num>
  <w:num w:numId="99">
    <w:abstractNumId w:val="75"/>
  </w:num>
  <w:num w:numId="100">
    <w:abstractNumId w:val="112"/>
  </w:num>
  <w:num w:numId="101">
    <w:abstractNumId w:val="22"/>
  </w:num>
  <w:num w:numId="102">
    <w:abstractNumId w:val="119"/>
  </w:num>
  <w:num w:numId="103">
    <w:abstractNumId w:val="39"/>
  </w:num>
  <w:num w:numId="104">
    <w:abstractNumId w:val="88"/>
  </w:num>
  <w:num w:numId="105">
    <w:abstractNumId w:val="89"/>
  </w:num>
  <w:num w:numId="106">
    <w:abstractNumId w:val="1"/>
  </w:num>
  <w:num w:numId="107">
    <w:abstractNumId w:val="98"/>
  </w:num>
  <w:num w:numId="108">
    <w:abstractNumId w:val="3"/>
  </w:num>
  <w:num w:numId="109">
    <w:abstractNumId w:val="120"/>
  </w:num>
  <w:num w:numId="110">
    <w:abstractNumId w:val="84"/>
  </w:num>
  <w:num w:numId="111">
    <w:abstractNumId w:val="48"/>
  </w:num>
  <w:num w:numId="112">
    <w:abstractNumId w:val="5"/>
  </w:num>
  <w:num w:numId="113">
    <w:abstractNumId w:val="51"/>
  </w:num>
  <w:num w:numId="114">
    <w:abstractNumId w:val="33"/>
  </w:num>
  <w:num w:numId="115">
    <w:abstractNumId w:val="97"/>
  </w:num>
  <w:num w:numId="116">
    <w:abstractNumId w:val="82"/>
  </w:num>
  <w:num w:numId="117">
    <w:abstractNumId w:val="69"/>
  </w:num>
  <w:num w:numId="118">
    <w:abstractNumId w:val="105"/>
  </w:num>
  <w:num w:numId="119">
    <w:abstractNumId w:val="87"/>
  </w:num>
  <w:num w:numId="120">
    <w:abstractNumId w:val="71"/>
  </w:num>
  <w:num w:numId="121">
    <w:abstractNumId w:val="13"/>
  </w:num>
  <w:num w:numId="122">
    <w:abstractNumId w:val="118"/>
  </w:num>
  <w:num w:numId="123">
    <w:abstractNumId w:val="66"/>
  </w:num>
  <w:num w:numId="124">
    <w:abstractNumId w:val="116"/>
  </w:num>
  <w:num w:numId="125">
    <w:abstractNumId w:val="131"/>
  </w:num>
  <w:num w:numId="126">
    <w:abstractNumId w:val="127"/>
  </w:num>
  <w:num w:numId="127">
    <w:abstractNumId w:val="67"/>
  </w:num>
  <w:num w:numId="128">
    <w:abstractNumId w:val="80"/>
  </w:num>
  <w:num w:numId="129">
    <w:abstractNumId w:val="0"/>
  </w:num>
  <w:num w:numId="130">
    <w:abstractNumId w:val="36"/>
  </w:num>
  <w:num w:numId="131">
    <w:abstractNumId w:val="93"/>
  </w:num>
  <w:num w:numId="132">
    <w:abstractNumId w:val="83"/>
  </w:num>
  <w:num w:numId="133">
    <w:abstractNumId w:val="86"/>
  </w:num>
  <w:num w:numId="134">
    <w:abstractNumId w:val="7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56408"/>
    <w:rsid w:val="00076134"/>
    <w:rsid w:val="000902E7"/>
    <w:rsid w:val="00090B3F"/>
    <w:rsid w:val="000912FA"/>
    <w:rsid w:val="00093612"/>
    <w:rsid w:val="000A27A8"/>
    <w:rsid w:val="000A78A2"/>
    <w:rsid w:val="000B62E7"/>
    <w:rsid w:val="000B6CC5"/>
    <w:rsid w:val="000C7423"/>
    <w:rsid w:val="00102BCE"/>
    <w:rsid w:val="00102C21"/>
    <w:rsid w:val="00107F3C"/>
    <w:rsid w:val="0012003A"/>
    <w:rsid w:val="001306FA"/>
    <w:rsid w:val="00130784"/>
    <w:rsid w:val="001400F3"/>
    <w:rsid w:val="00151C15"/>
    <w:rsid w:val="0015618E"/>
    <w:rsid w:val="00171F21"/>
    <w:rsid w:val="0017673F"/>
    <w:rsid w:val="00184161"/>
    <w:rsid w:val="001870F7"/>
    <w:rsid w:val="00190F90"/>
    <w:rsid w:val="001A77C9"/>
    <w:rsid w:val="001C2CEF"/>
    <w:rsid w:val="001C4E2E"/>
    <w:rsid w:val="001E1DE6"/>
    <w:rsid w:val="001F10B8"/>
    <w:rsid w:val="001F6BE2"/>
    <w:rsid w:val="00213EAC"/>
    <w:rsid w:val="002144EA"/>
    <w:rsid w:val="0021676D"/>
    <w:rsid w:val="00220017"/>
    <w:rsid w:val="002254C6"/>
    <w:rsid w:val="0023341D"/>
    <w:rsid w:val="00254C5B"/>
    <w:rsid w:val="002704CE"/>
    <w:rsid w:val="00272638"/>
    <w:rsid w:val="0028436C"/>
    <w:rsid w:val="002A1DEB"/>
    <w:rsid w:val="002A5B90"/>
    <w:rsid w:val="002A747A"/>
    <w:rsid w:val="002B3B32"/>
    <w:rsid w:val="002B3DB3"/>
    <w:rsid w:val="002B3F4F"/>
    <w:rsid w:val="002C0981"/>
    <w:rsid w:val="002D1A16"/>
    <w:rsid w:val="002E7BED"/>
    <w:rsid w:val="002F5880"/>
    <w:rsid w:val="00307FD1"/>
    <w:rsid w:val="00344354"/>
    <w:rsid w:val="003472F9"/>
    <w:rsid w:val="003613E9"/>
    <w:rsid w:val="00367A62"/>
    <w:rsid w:val="003830BF"/>
    <w:rsid w:val="00384C73"/>
    <w:rsid w:val="0038780A"/>
    <w:rsid w:val="003914D3"/>
    <w:rsid w:val="0039488C"/>
    <w:rsid w:val="003C26D4"/>
    <w:rsid w:val="003D4883"/>
    <w:rsid w:val="003E6EB7"/>
    <w:rsid w:val="003F2D6D"/>
    <w:rsid w:val="00407C2A"/>
    <w:rsid w:val="00410DEF"/>
    <w:rsid w:val="00416D23"/>
    <w:rsid w:val="00435AE6"/>
    <w:rsid w:val="00447F61"/>
    <w:rsid w:val="004567D9"/>
    <w:rsid w:val="00460527"/>
    <w:rsid w:val="00474D5E"/>
    <w:rsid w:val="004751AF"/>
    <w:rsid w:val="004937DE"/>
    <w:rsid w:val="004D2A55"/>
    <w:rsid w:val="004D6BBE"/>
    <w:rsid w:val="004F3D5C"/>
    <w:rsid w:val="0050013C"/>
    <w:rsid w:val="00502F37"/>
    <w:rsid w:val="005041C2"/>
    <w:rsid w:val="00505592"/>
    <w:rsid w:val="00513C46"/>
    <w:rsid w:val="00514D6C"/>
    <w:rsid w:val="00526938"/>
    <w:rsid w:val="00565EF9"/>
    <w:rsid w:val="0058142B"/>
    <w:rsid w:val="00592E41"/>
    <w:rsid w:val="005D75B8"/>
    <w:rsid w:val="00604F85"/>
    <w:rsid w:val="00615B25"/>
    <w:rsid w:val="00620F67"/>
    <w:rsid w:val="00630D63"/>
    <w:rsid w:val="00632CF8"/>
    <w:rsid w:val="006751B3"/>
    <w:rsid w:val="006F2B0A"/>
    <w:rsid w:val="00700331"/>
    <w:rsid w:val="007003F0"/>
    <w:rsid w:val="0071593C"/>
    <w:rsid w:val="00727476"/>
    <w:rsid w:val="00741927"/>
    <w:rsid w:val="007444D4"/>
    <w:rsid w:val="00750926"/>
    <w:rsid w:val="0075503E"/>
    <w:rsid w:val="00790995"/>
    <w:rsid w:val="00794D53"/>
    <w:rsid w:val="00795779"/>
    <w:rsid w:val="00797737"/>
    <w:rsid w:val="007A6FE0"/>
    <w:rsid w:val="007D0C83"/>
    <w:rsid w:val="007E1479"/>
    <w:rsid w:val="007E24D0"/>
    <w:rsid w:val="007E2C3A"/>
    <w:rsid w:val="007F69DB"/>
    <w:rsid w:val="00815DED"/>
    <w:rsid w:val="008243B2"/>
    <w:rsid w:val="008304D2"/>
    <w:rsid w:val="0083495E"/>
    <w:rsid w:val="00837102"/>
    <w:rsid w:val="008657B1"/>
    <w:rsid w:val="00865E53"/>
    <w:rsid w:val="0087273C"/>
    <w:rsid w:val="00881FAA"/>
    <w:rsid w:val="008826A7"/>
    <w:rsid w:val="008A0587"/>
    <w:rsid w:val="008A40E8"/>
    <w:rsid w:val="008B09F5"/>
    <w:rsid w:val="008D1332"/>
    <w:rsid w:val="008E139C"/>
    <w:rsid w:val="008F5B0A"/>
    <w:rsid w:val="008F7D3B"/>
    <w:rsid w:val="009236E8"/>
    <w:rsid w:val="009254DA"/>
    <w:rsid w:val="009274BE"/>
    <w:rsid w:val="00931DF0"/>
    <w:rsid w:val="00953B22"/>
    <w:rsid w:val="00954464"/>
    <w:rsid w:val="00962E1E"/>
    <w:rsid w:val="0098221D"/>
    <w:rsid w:val="00985C79"/>
    <w:rsid w:val="00992B06"/>
    <w:rsid w:val="009B5514"/>
    <w:rsid w:val="009C3A84"/>
    <w:rsid w:val="009E1515"/>
    <w:rsid w:val="009E26CB"/>
    <w:rsid w:val="009E2A8C"/>
    <w:rsid w:val="00A144CA"/>
    <w:rsid w:val="00A22EEF"/>
    <w:rsid w:val="00A3105C"/>
    <w:rsid w:val="00A36801"/>
    <w:rsid w:val="00A5173D"/>
    <w:rsid w:val="00A54FD4"/>
    <w:rsid w:val="00A57EE6"/>
    <w:rsid w:val="00A61A71"/>
    <w:rsid w:val="00A66F15"/>
    <w:rsid w:val="00A70EB8"/>
    <w:rsid w:val="00A83F4E"/>
    <w:rsid w:val="00A9522B"/>
    <w:rsid w:val="00AC322B"/>
    <w:rsid w:val="00AD5C8F"/>
    <w:rsid w:val="00AD7838"/>
    <w:rsid w:val="00AE0D8F"/>
    <w:rsid w:val="00B00A75"/>
    <w:rsid w:val="00B017F7"/>
    <w:rsid w:val="00B026A1"/>
    <w:rsid w:val="00B0703B"/>
    <w:rsid w:val="00B1098C"/>
    <w:rsid w:val="00B1231C"/>
    <w:rsid w:val="00B14A79"/>
    <w:rsid w:val="00B228F7"/>
    <w:rsid w:val="00B37497"/>
    <w:rsid w:val="00B4213A"/>
    <w:rsid w:val="00B5315D"/>
    <w:rsid w:val="00B619B2"/>
    <w:rsid w:val="00B7150E"/>
    <w:rsid w:val="00B95E1D"/>
    <w:rsid w:val="00BA6557"/>
    <w:rsid w:val="00BD13D7"/>
    <w:rsid w:val="00BE34DD"/>
    <w:rsid w:val="00BE3FD0"/>
    <w:rsid w:val="00BF0FD5"/>
    <w:rsid w:val="00C25DB5"/>
    <w:rsid w:val="00C372B8"/>
    <w:rsid w:val="00C46112"/>
    <w:rsid w:val="00C65EEA"/>
    <w:rsid w:val="00C755EA"/>
    <w:rsid w:val="00C946A3"/>
    <w:rsid w:val="00CA4883"/>
    <w:rsid w:val="00CA5AAE"/>
    <w:rsid w:val="00CC38D5"/>
    <w:rsid w:val="00CC4F50"/>
    <w:rsid w:val="00CE45EE"/>
    <w:rsid w:val="00D2465B"/>
    <w:rsid w:val="00D26C66"/>
    <w:rsid w:val="00D3410A"/>
    <w:rsid w:val="00D36979"/>
    <w:rsid w:val="00D36BEE"/>
    <w:rsid w:val="00D82B0A"/>
    <w:rsid w:val="00D82FF3"/>
    <w:rsid w:val="00DB199D"/>
    <w:rsid w:val="00DE2AB6"/>
    <w:rsid w:val="00E1155C"/>
    <w:rsid w:val="00E11783"/>
    <w:rsid w:val="00E16EA0"/>
    <w:rsid w:val="00E171DE"/>
    <w:rsid w:val="00E370B6"/>
    <w:rsid w:val="00E44056"/>
    <w:rsid w:val="00E449BF"/>
    <w:rsid w:val="00E633EA"/>
    <w:rsid w:val="00E63881"/>
    <w:rsid w:val="00E64EED"/>
    <w:rsid w:val="00E70CC1"/>
    <w:rsid w:val="00E7211F"/>
    <w:rsid w:val="00E73D3D"/>
    <w:rsid w:val="00E74DBD"/>
    <w:rsid w:val="00E80ADC"/>
    <w:rsid w:val="00E87E1C"/>
    <w:rsid w:val="00EB0467"/>
    <w:rsid w:val="00EE10DC"/>
    <w:rsid w:val="00EE173D"/>
    <w:rsid w:val="00F103C2"/>
    <w:rsid w:val="00F37840"/>
    <w:rsid w:val="00F563EA"/>
    <w:rsid w:val="00F57767"/>
    <w:rsid w:val="00F60FD7"/>
    <w:rsid w:val="00F652C6"/>
    <w:rsid w:val="00F86B74"/>
    <w:rsid w:val="00F90B89"/>
    <w:rsid w:val="00F92E3B"/>
    <w:rsid w:val="00F9432F"/>
    <w:rsid w:val="00FA5005"/>
    <w:rsid w:val="00FC4638"/>
    <w:rsid w:val="00FC505D"/>
    <w:rsid w:val="00FF16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60620">
      <w:bodyDiv w:val="1"/>
      <w:marLeft w:val="0"/>
      <w:marRight w:val="0"/>
      <w:marTop w:val="0"/>
      <w:marBottom w:val="0"/>
      <w:divBdr>
        <w:top w:val="none" w:sz="0" w:space="0" w:color="auto"/>
        <w:left w:val="none" w:sz="0" w:space="0" w:color="auto"/>
        <w:bottom w:val="none" w:sz="0" w:space="0" w:color="auto"/>
        <w:right w:val="none" w:sz="0" w:space="0" w:color="auto"/>
      </w:divBdr>
    </w:div>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disciplinary-procedure-step-by-step/step-2-following-a-fair-procedure" TargetMode="External"/><Relationship Id="rId13" Type="http://schemas.openxmlformats.org/officeDocument/2006/relationships/hyperlink" Target="http://www.acas.org.uk/index.aspx?articleid=2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disciplinary-procedure-step-by-step/step-6-after-the-disciplinary-proced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disciplinary-procedure-step-by-step/step-5-deciding-on-the-disciplinary-outcome" TargetMode="External"/><Relationship Id="rId5" Type="http://schemas.openxmlformats.org/officeDocument/2006/relationships/webSettings" Target="webSettings.xml"/><Relationship Id="rId15" Type="http://schemas.openxmlformats.org/officeDocument/2006/relationships/hyperlink" Target="https://www.acas.org.uk/example-discipline-and-grievance-procedures" TargetMode="External"/><Relationship Id="rId10" Type="http://schemas.openxmlformats.org/officeDocument/2006/relationships/hyperlink" Target="https://www.acas.org.uk/disciplinary-procedure-step-by-step/step-4-the-disciplinary-hearing" TargetMode="External"/><Relationship Id="rId4" Type="http://schemas.openxmlformats.org/officeDocument/2006/relationships/settings" Target="settings.xml"/><Relationship Id="rId9" Type="http://schemas.openxmlformats.org/officeDocument/2006/relationships/hyperlink" Target="https://www.acas.org.uk/disciplinary-procedure-step-by-step/step-3-carrying-out-an-investigation" TargetMode="External"/><Relationship Id="rId14" Type="http://schemas.openxmlformats.org/officeDocument/2006/relationships/hyperlink" Target="https://www.gov.uk/disciplinary-procedures-and-action-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794E-71AF-4C5C-97CE-408E492A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10</cp:revision>
  <dcterms:created xsi:type="dcterms:W3CDTF">2018-12-07T13:23:00Z</dcterms:created>
  <dcterms:modified xsi:type="dcterms:W3CDTF">2020-06-23T10:57:00Z</dcterms:modified>
</cp:coreProperties>
</file>